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w:t>
            </w:r>
            <w:r>
              <w:rPr>
                <w:rFonts w:hint="eastAsia" w:ascii="FangSong_GB2312" w:hAnsi="FangSong_GB2312" w:eastAsia="FangSong_GB2312" w:cs="FangSong_GB2312"/>
                <w:color w:val="000000"/>
                <w:kern w:val="0"/>
                <w:sz w:val="24"/>
                <w:lang w:eastAsia="zh-CN" w:bidi="ar"/>
              </w:rPr>
              <w:t>医院</w:t>
            </w:r>
            <w:bookmarkStart w:id="0" w:name="_GoBack"/>
            <w:r>
              <w:rPr>
                <w:rFonts w:hint="eastAsia" w:ascii="FangSong_GB2312" w:hAnsi="FangSong_GB2312" w:eastAsia="FangSong_GB2312" w:cs="FangSong_GB2312"/>
                <w:color w:val="000000"/>
                <w:kern w:val="0"/>
                <w:sz w:val="24"/>
                <w:lang w:eastAsia="zh-CN" w:bidi="ar"/>
              </w:rPr>
              <w:t>网络与信息安全等级保护评测</w:t>
            </w:r>
            <w:bookmarkEnd w:id="0"/>
            <w:r>
              <w:rPr>
                <w:rFonts w:hint="eastAsia" w:ascii="FangSong_GB2312" w:hAnsi="FangSong_GB2312" w:eastAsia="FangSong_GB2312" w:cs="FangSong_GB2312"/>
                <w:color w:val="000000"/>
                <w:kern w:val="0"/>
                <w:sz w:val="24"/>
                <w:lang w:eastAsia="zh-CN" w:bidi="ar"/>
              </w:rPr>
              <w:t>采购</w:t>
            </w:r>
            <w:r>
              <w:rPr>
                <w:rFonts w:hint="eastAsia" w:ascii="FangSong_GB2312" w:hAnsi="FangSong_GB2312" w:eastAsia="FangSong_GB2312" w:cs="FangSong_GB2312"/>
                <w:color w:val="000000"/>
                <w:kern w:val="0"/>
                <w:sz w:val="24"/>
                <w:lang w:bidi="ar"/>
              </w:rPr>
              <w:t>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280000元</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280000元</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4A1466C1">
            <w:pPr>
              <w:pStyle w:val="19"/>
              <w:ind w:left="360"/>
              <w:rPr>
                <w:rFonts w:eastAsia="FangSong_GB2312" w:asciiTheme="minorHAnsi" w:hAnsiTheme="minorHAnsi" w:cstheme="minorHAnsi"/>
                <w:lang w:bidi="ar"/>
              </w:rPr>
            </w:pPr>
            <w:r>
              <w:rPr>
                <w:rFonts w:eastAsia="FangSong_GB2312" w:asciiTheme="minorHAnsi" w:hAnsiTheme="minorHAnsi" w:cstheme="minorHAnsi"/>
                <w:lang w:bidi="ar"/>
              </w:rPr>
              <w:t>采购需求：</w:t>
            </w:r>
          </w:p>
          <w:p w14:paraId="1320AE93">
            <w:pPr>
              <w:keepNext w:val="0"/>
              <w:keepLines w:val="0"/>
              <w:widowControl/>
              <w:suppressLineNumbers w:val="0"/>
              <w:ind w:firstLine="480" w:firstLineChars="200"/>
              <w:jc w:val="left"/>
              <w:rPr>
                <w:rFonts w:hint="eastAsia" w:eastAsia="宋体"/>
                <w:lang w:val="en-US" w:eastAsia="zh-CN"/>
              </w:rPr>
            </w:pPr>
            <w:r>
              <w:rPr>
                <w:rFonts w:ascii="宋体" w:hAnsi="宋体" w:eastAsia="宋体" w:cs="宋体"/>
                <w:sz w:val="24"/>
                <w:szCs w:val="24"/>
              </w:rPr>
              <w:t>网络安全等级保护测评及安全服务</w:t>
            </w:r>
            <w:r>
              <w:rPr>
                <w:rFonts w:hint="eastAsia" w:ascii="宋体" w:hAnsi="宋体" w:eastAsia="宋体" w:cs="宋体"/>
                <w:sz w:val="24"/>
                <w:szCs w:val="24"/>
                <w:lang w:eastAsia="zh-CN"/>
              </w:rPr>
              <w:t>一年。详细要求见附件</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50个工作日内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医学装备部陈</w:t>
            </w:r>
            <w:r>
              <w:rPr>
                <w:rFonts w:hint="eastAsia" w:ascii="FangSong_GB2312" w:hAnsi="FangSong_GB2312" w:eastAsia="FangSong_GB2312" w:cs="FangSong_GB2312"/>
                <w:color w:val="000000"/>
                <w:kern w:val="0"/>
                <w:sz w:val="24"/>
                <w:lang w:eastAsia="zh-CN" w:bidi="ar"/>
              </w:rPr>
              <w:t>老师</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hint="default" w:ascii="FangSong_GB2312" w:hAnsi="FangSong_GB2312" w:eastAsia="FangSong_GB2312" w:cs="FangSong_GB2312"/>
                <w:color w:val="000000"/>
                <w:sz w:val="24"/>
                <w:lang w:val="en-US" w:eastAsia="zh-CN"/>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eastAsia="zh-CN" w:bidi="ar"/>
              </w:rPr>
              <w:t>信息科杨老师</w:t>
            </w:r>
            <w:r>
              <w:rPr>
                <w:rFonts w:hint="eastAsia" w:ascii="FangSong_GB2312" w:hAnsi="FangSong_GB2312" w:eastAsia="FangSong_GB2312" w:cs="FangSong_GB2312"/>
                <w:color w:val="000000"/>
                <w:kern w:val="0"/>
                <w:sz w:val="24"/>
                <w:lang w:bidi="ar"/>
              </w:rPr>
              <w:t>，联系电话：</w:t>
            </w:r>
            <w:r>
              <w:rPr>
                <w:rFonts w:hint="eastAsia" w:ascii="FangSong_GB2312" w:hAnsi="FangSong_GB2312" w:eastAsia="FangSong_GB2312" w:cs="FangSong_GB2312"/>
                <w:color w:val="000000"/>
                <w:kern w:val="0"/>
                <w:sz w:val="24"/>
                <w:lang w:val="en-US" w:eastAsia="zh-CN" w:bidi="ar"/>
              </w:rPr>
              <w:t>15185306765 ，邮箱791364169@qq.com</w:t>
            </w:r>
          </w:p>
        </w:tc>
      </w:tr>
    </w:tbl>
    <w:p w14:paraId="0D3EE5CC">
      <w:pPr>
        <w:numPr>
          <w:ilvl w:val="0"/>
          <w:numId w:val="0"/>
        </w:numPr>
        <w:jc w:val="left"/>
      </w:pPr>
    </w:p>
    <w:p w14:paraId="5E7F6106">
      <w:pPr>
        <w:numPr>
          <w:ilvl w:val="0"/>
          <w:numId w:val="0"/>
        </w:numPr>
        <w:jc w:val="left"/>
      </w:pPr>
    </w:p>
    <w:p w14:paraId="4A897C6E">
      <w:pPr>
        <w:numPr>
          <w:ilvl w:val="0"/>
          <w:numId w:val="0"/>
        </w:numPr>
        <w:jc w:val="left"/>
        <w:rPr>
          <w:rFonts w:hint="eastAsia" w:ascii="宋体" w:hAnsi="宋体"/>
          <w:b/>
          <w:color w:val="000000"/>
          <w:szCs w:val="21"/>
        </w:rPr>
      </w:pPr>
    </w:p>
    <w:p w14:paraId="7CC65435">
      <w:pPr>
        <w:jc w:val="left"/>
        <w:rPr>
          <w:rFonts w:hint="eastAsia"/>
          <w:b/>
          <w:bCs/>
          <w:sz w:val="30"/>
          <w:szCs w:val="30"/>
          <w:lang w:eastAsia="zh-CN"/>
        </w:rPr>
      </w:pPr>
    </w:p>
    <w:p w14:paraId="6F59DC77">
      <w:pPr>
        <w:jc w:val="left"/>
        <w:rPr>
          <w:rFonts w:ascii="微软雅黑" w:hAnsi="微软雅黑" w:eastAsia="微软雅黑" w:cs="微软雅黑"/>
          <w:kern w:val="0"/>
        </w:rPr>
      </w:pPr>
    </w:p>
    <w:p w14:paraId="106CA7CC">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附件 采购需求</w:t>
      </w:r>
    </w:p>
    <w:p w14:paraId="4AD3D161">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测评</w:t>
      </w:r>
      <w:r>
        <w:rPr>
          <w:rFonts w:hint="eastAsia" w:ascii="仿宋_GB2312" w:hAnsi="仿宋_GB2312" w:eastAsia="仿宋_GB2312" w:cs="仿宋_GB2312"/>
          <w:color w:val="auto"/>
          <w:sz w:val="28"/>
          <w:szCs w:val="28"/>
        </w:rPr>
        <w:t>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320"/>
        <w:gridCol w:w="6110"/>
      </w:tblGrid>
      <w:tr w14:paraId="09E9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5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A786AB0">
            <w:pPr>
              <w:keepNext w:val="0"/>
              <w:keepLines w:val="0"/>
              <w:pageBreakBefore w:val="0"/>
              <w:kinsoku/>
              <w:overflowPunct/>
              <w:topLinePunct w:val="0"/>
              <w:autoSpaceDE/>
              <w:autoSpaceDN/>
              <w:bidi w:val="0"/>
              <w:adjustRightInd/>
              <w:snapToGrid/>
              <w:spacing w:after="200" w:line="360" w:lineRule="auto"/>
              <w:jc w:val="center"/>
              <w:rPr>
                <w:rFonts w:ascii="仿宋_GB2312" w:hAnsi="仿宋_GB2312" w:eastAsia="仿宋_GB2312" w:cs="仿宋_GB2312"/>
                <w:b/>
                <w:bCs/>
                <w:color w:val="000000"/>
                <w:spacing w:val="-4"/>
                <w:sz w:val="24"/>
                <w:szCs w:val="24"/>
              </w:rPr>
            </w:pPr>
            <w:r>
              <w:rPr>
                <w:rFonts w:hint="eastAsia" w:ascii="仿宋_GB2312" w:hAnsi="仿宋_GB2312" w:eastAsia="仿宋_GB2312" w:cs="仿宋_GB2312"/>
                <w:b/>
                <w:bCs/>
                <w:color w:val="000000"/>
                <w:spacing w:val="-4"/>
                <w:sz w:val="24"/>
                <w:szCs w:val="24"/>
              </w:rPr>
              <w:t>序号</w:t>
            </w:r>
          </w:p>
        </w:tc>
        <w:tc>
          <w:tcPr>
            <w:tcW w:w="132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201F5288">
            <w:pPr>
              <w:keepNext w:val="0"/>
              <w:keepLines w:val="0"/>
              <w:pageBreakBefore w:val="0"/>
              <w:kinsoku/>
              <w:overflowPunct/>
              <w:topLinePunct w:val="0"/>
              <w:autoSpaceDE/>
              <w:autoSpaceDN/>
              <w:bidi w:val="0"/>
              <w:adjustRightInd/>
              <w:snapToGrid/>
              <w:spacing w:after="200" w:line="360" w:lineRule="auto"/>
              <w:jc w:val="center"/>
              <w:rPr>
                <w:rFonts w:ascii="仿宋_GB2312" w:hAnsi="仿宋_GB2312" w:eastAsia="仿宋_GB2312" w:cs="仿宋_GB2312"/>
                <w:b/>
                <w:bCs/>
                <w:color w:val="000000"/>
                <w:spacing w:val="-4"/>
                <w:sz w:val="24"/>
                <w:szCs w:val="24"/>
              </w:rPr>
            </w:pPr>
            <w:r>
              <w:rPr>
                <w:rFonts w:hint="eastAsia" w:ascii="仿宋_GB2312" w:hAnsi="仿宋_GB2312" w:eastAsia="仿宋_GB2312" w:cs="仿宋_GB2312"/>
                <w:b/>
                <w:bCs/>
                <w:color w:val="000000"/>
                <w:spacing w:val="-4"/>
                <w:sz w:val="24"/>
                <w:szCs w:val="24"/>
              </w:rPr>
              <w:t>项目</w:t>
            </w:r>
          </w:p>
        </w:tc>
        <w:tc>
          <w:tcPr>
            <w:tcW w:w="611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35AB91EB">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b/>
                <w:bCs/>
                <w:color w:val="000000"/>
                <w:spacing w:val="-4"/>
                <w:sz w:val="24"/>
                <w:szCs w:val="24"/>
                <w:lang w:eastAsia="zh-CN"/>
              </w:rPr>
            </w:pPr>
            <w:r>
              <w:rPr>
                <w:rFonts w:hint="eastAsia" w:ascii="仿宋_GB2312" w:hAnsi="仿宋_GB2312" w:eastAsia="仿宋_GB2312" w:cs="仿宋_GB2312"/>
                <w:b/>
                <w:bCs/>
                <w:color w:val="000000"/>
                <w:spacing w:val="-4"/>
                <w:sz w:val="24"/>
                <w:szCs w:val="24"/>
                <w:lang w:val="en-US" w:eastAsia="zh-CN"/>
              </w:rPr>
              <w:t>要求</w:t>
            </w:r>
          </w:p>
        </w:tc>
      </w:tr>
      <w:tr w14:paraId="50F8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51" w:type="dxa"/>
            <w:tcBorders>
              <w:top w:val="single" w:color="auto" w:sz="4" w:space="0"/>
              <w:left w:val="single" w:color="auto" w:sz="4" w:space="0"/>
              <w:bottom w:val="single" w:color="auto" w:sz="4" w:space="0"/>
              <w:right w:val="single" w:color="auto" w:sz="4" w:space="0"/>
            </w:tcBorders>
            <w:noWrap w:val="0"/>
            <w:vAlign w:val="center"/>
          </w:tcPr>
          <w:p w14:paraId="2327AA2D">
            <w:pPr>
              <w:keepNext w:val="0"/>
              <w:keepLines w:val="0"/>
              <w:pageBreakBefore w:val="0"/>
              <w:numPr>
                <w:ilvl w:val="0"/>
                <w:numId w:val="0"/>
              </w:numPr>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1</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E9694F9">
            <w:pPr>
              <w:keepNext w:val="0"/>
              <w:keepLines w:val="0"/>
              <w:pageBreakBefore w:val="0"/>
              <w:kinsoku/>
              <w:overflowPunct/>
              <w:topLinePunct w:val="0"/>
              <w:autoSpaceDE/>
              <w:autoSpaceDN/>
              <w:bidi w:val="0"/>
              <w:adjustRightInd/>
              <w:snapToGrid/>
              <w:spacing w:after="200" w:line="360" w:lineRule="auto"/>
              <w:jc w:val="center"/>
              <w:rPr>
                <w:rFonts w:ascii="仿宋_GB2312" w:hAnsi="仿宋_GB2312" w:eastAsia="仿宋_GB2312" w:cs="仿宋_GB2312"/>
                <w:color w:val="000000"/>
                <w:spacing w:val="-4"/>
                <w:sz w:val="22"/>
                <w:szCs w:val="22"/>
              </w:rPr>
            </w:pPr>
            <w:r>
              <w:rPr>
                <w:rFonts w:hint="eastAsia" w:ascii="仿宋_GB2312" w:hAnsi="仿宋_GB2312" w:eastAsia="仿宋_GB2312" w:cs="仿宋_GB2312"/>
                <w:color w:val="000000"/>
                <w:spacing w:val="-4"/>
                <w:sz w:val="22"/>
                <w:szCs w:val="22"/>
                <w:lang w:val="en-US" w:eastAsia="zh-CN"/>
              </w:rPr>
              <w:t>HIS</w:t>
            </w:r>
            <w:r>
              <w:rPr>
                <w:rFonts w:hint="eastAsia" w:ascii="仿宋_GB2312" w:hAnsi="仿宋_GB2312" w:eastAsia="仿宋_GB2312" w:cs="仿宋_GB2312"/>
                <w:color w:val="000000"/>
                <w:spacing w:val="-4"/>
                <w:sz w:val="22"/>
                <w:szCs w:val="22"/>
              </w:rPr>
              <w:t>三级等保测评</w:t>
            </w:r>
          </w:p>
        </w:tc>
        <w:tc>
          <w:tcPr>
            <w:tcW w:w="6110" w:type="dxa"/>
            <w:tcBorders>
              <w:top w:val="single" w:color="auto" w:sz="4" w:space="0"/>
              <w:left w:val="single" w:color="auto" w:sz="4" w:space="0"/>
              <w:bottom w:val="single" w:color="auto" w:sz="4" w:space="0"/>
              <w:right w:val="single" w:color="auto" w:sz="4" w:space="0"/>
            </w:tcBorders>
            <w:noWrap w:val="0"/>
            <w:vAlign w:val="center"/>
          </w:tcPr>
          <w:p w14:paraId="70148AA3">
            <w:pPr>
              <w:keepNext w:val="0"/>
              <w:keepLines w:val="0"/>
              <w:pageBreakBefore w:val="0"/>
              <w:widowControl/>
              <w:numPr>
                <w:ilvl w:val="0"/>
                <w:numId w:val="2"/>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按等保要求对我单位医院信息系统（HIS）开展三级等保测评工作。</w:t>
            </w:r>
          </w:p>
          <w:p w14:paraId="311791FC">
            <w:pPr>
              <w:keepNext w:val="0"/>
              <w:keepLines w:val="0"/>
              <w:pageBreakBefore w:val="0"/>
              <w:widowControl/>
              <w:numPr>
                <w:ilvl w:val="0"/>
                <w:numId w:val="2"/>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pacing w:val="-4"/>
                <w:sz w:val="22"/>
                <w:szCs w:val="22"/>
                <w:lang w:eastAsia="zh-CN"/>
              </w:rPr>
            </w:pPr>
            <w:r>
              <w:rPr>
                <w:rFonts w:hint="eastAsia" w:ascii="仿宋_GB2312" w:hAnsi="仿宋_GB2312" w:eastAsia="仿宋_GB2312" w:cs="仿宋_GB2312"/>
                <w:color w:val="000000"/>
                <w:sz w:val="22"/>
                <w:szCs w:val="22"/>
              </w:rPr>
              <w:t>从安全物理环境、安全通信网络、安全区域边界、安全计算环境、安全管理中心、安全管理制度、安全管理机构、安全管理人员、安全建设管理、安全运维管理十个方面，对被测评对象进行综合测评</w:t>
            </w:r>
            <w:r>
              <w:rPr>
                <w:rFonts w:hint="eastAsia" w:ascii="仿宋_GB2312" w:hAnsi="仿宋_GB2312" w:eastAsia="仿宋_GB2312" w:cs="仿宋_GB2312"/>
                <w:color w:val="000000"/>
                <w:sz w:val="22"/>
                <w:szCs w:val="22"/>
                <w:lang w:eastAsia="zh-CN"/>
              </w:rPr>
              <w:t>。</w:t>
            </w:r>
          </w:p>
        </w:tc>
      </w:tr>
      <w:tr w14:paraId="138D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14:paraId="6439DE98">
            <w:pPr>
              <w:keepNext w:val="0"/>
              <w:keepLines w:val="0"/>
              <w:pageBreakBefore w:val="0"/>
              <w:kinsoku/>
              <w:overflowPunct/>
              <w:topLinePunct w:val="0"/>
              <w:autoSpaceDE/>
              <w:autoSpaceDN/>
              <w:bidi w:val="0"/>
              <w:adjustRightInd/>
              <w:snapToGrid/>
              <w:spacing w:after="200" w:line="360" w:lineRule="auto"/>
              <w:jc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2</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01E66BE">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rPr>
            </w:pPr>
            <w:r>
              <w:rPr>
                <w:rFonts w:hint="eastAsia" w:ascii="仿宋_GB2312" w:hAnsi="仿宋_GB2312" w:eastAsia="仿宋_GB2312" w:cs="仿宋_GB2312"/>
                <w:color w:val="000000"/>
                <w:spacing w:val="-4"/>
                <w:sz w:val="22"/>
                <w:szCs w:val="22"/>
                <w:lang w:val="en-US" w:eastAsia="zh-CN"/>
              </w:rPr>
              <w:t>3个二级系统等保测评</w:t>
            </w:r>
          </w:p>
        </w:tc>
        <w:tc>
          <w:tcPr>
            <w:tcW w:w="6110" w:type="dxa"/>
            <w:tcBorders>
              <w:top w:val="single" w:color="auto" w:sz="4" w:space="0"/>
              <w:left w:val="single" w:color="auto" w:sz="4" w:space="0"/>
              <w:bottom w:val="single" w:color="auto" w:sz="4" w:space="0"/>
              <w:right w:val="single" w:color="auto" w:sz="4" w:space="0"/>
            </w:tcBorders>
            <w:noWrap w:val="0"/>
            <w:vAlign w:val="center"/>
          </w:tcPr>
          <w:p w14:paraId="77392220">
            <w:pPr>
              <w:keepNext w:val="0"/>
              <w:keepLines w:val="0"/>
              <w:pageBreakBefore w:val="0"/>
              <w:widowControl/>
              <w:numPr>
                <w:ilvl w:val="0"/>
                <w:numId w:val="3"/>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按等保要求对我单位</w:t>
            </w:r>
            <w:r>
              <w:rPr>
                <w:rFonts w:hint="eastAsia" w:ascii="仿宋_GB2312" w:hAnsi="仿宋_GB2312" w:eastAsia="仿宋_GB2312" w:cs="仿宋_GB2312"/>
                <w:color w:val="000000"/>
                <w:sz w:val="22"/>
                <w:szCs w:val="22"/>
                <w:lang w:val="en-US" w:eastAsia="zh-CN"/>
              </w:rPr>
              <w:t>3个系统：门户网站、PACS影像与OA业务系统</w:t>
            </w:r>
            <w:r>
              <w:rPr>
                <w:rFonts w:hint="eastAsia" w:ascii="仿宋_GB2312" w:hAnsi="仿宋_GB2312" w:eastAsia="仿宋_GB2312" w:cs="仿宋_GB2312"/>
                <w:color w:val="000000"/>
                <w:sz w:val="22"/>
                <w:szCs w:val="22"/>
              </w:rPr>
              <w:t>开展</w:t>
            </w:r>
            <w:r>
              <w:rPr>
                <w:rFonts w:hint="eastAsia" w:ascii="仿宋_GB2312" w:hAnsi="仿宋_GB2312" w:eastAsia="仿宋_GB2312" w:cs="仿宋_GB2312"/>
                <w:color w:val="000000"/>
                <w:sz w:val="22"/>
                <w:szCs w:val="22"/>
                <w:lang w:val="en-US" w:eastAsia="zh-CN"/>
              </w:rPr>
              <w:t>二</w:t>
            </w:r>
            <w:r>
              <w:rPr>
                <w:rFonts w:hint="eastAsia" w:ascii="仿宋_GB2312" w:hAnsi="仿宋_GB2312" w:eastAsia="仿宋_GB2312" w:cs="仿宋_GB2312"/>
                <w:color w:val="000000"/>
                <w:sz w:val="22"/>
                <w:szCs w:val="22"/>
              </w:rPr>
              <w:t>级等保测评工作。</w:t>
            </w:r>
          </w:p>
          <w:p w14:paraId="16CF1283">
            <w:pPr>
              <w:keepNext w:val="0"/>
              <w:keepLines w:val="0"/>
              <w:pageBreakBefore w:val="0"/>
              <w:widowControl/>
              <w:numPr>
                <w:ilvl w:val="0"/>
                <w:numId w:val="3"/>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从安全物理环境、安全通信网络、安全区域边界、安全计算环境、安全管理中心、安全管理制度、安全管理机构、安全管理人员、安全建设管理、安全运维管理十个方面，对被测评对象进行综合测评</w:t>
            </w:r>
            <w:r>
              <w:rPr>
                <w:rFonts w:hint="eastAsia" w:ascii="仿宋_GB2312" w:hAnsi="仿宋_GB2312" w:eastAsia="仿宋_GB2312" w:cs="仿宋_GB2312"/>
                <w:color w:val="000000"/>
                <w:sz w:val="22"/>
                <w:szCs w:val="22"/>
                <w:lang w:eastAsia="zh-CN"/>
              </w:rPr>
              <w:t>。</w:t>
            </w:r>
          </w:p>
        </w:tc>
      </w:tr>
      <w:tr w14:paraId="49C4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14:paraId="32A7ADF6">
            <w:pPr>
              <w:keepNext w:val="0"/>
              <w:keepLines w:val="0"/>
              <w:pageBreakBefore w:val="0"/>
              <w:kinsoku/>
              <w:overflowPunct/>
              <w:topLinePunct w:val="0"/>
              <w:autoSpaceDE/>
              <w:autoSpaceDN/>
              <w:bidi w:val="0"/>
              <w:adjustRightInd/>
              <w:snapToGrid/>
              <w:spacing w:after="200" w:line="360" w:lineRule="auto"/>
              <w:jc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3</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C7A1721">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rPr>
            </w:pPr>
            <w:r>
              <w:rPr>
                <w:rFonts w:hint="eastAsia" w:ascii="仿宋_GB2312" w:hAnsi="仿宋_GB2312" w:eastAsia="仿宋_GB2312" w:cs="仿宋_GB2312"/>
                <w:color w:val="000000"/>
                <w:spacing w:val="-4"/>
                <w:sz w:val="22"/>
                <w:szCs w:val="22"/>
              </w:rPr>
              <w:t>定期安全巡检</w:t>
            </w:r>
          </w:p>
        </w:tc>
        <w:tc>
          <w:tcPr>
            <w:tcW w:w="6110" w:type="dxa"/>
            <w:tcBorders>
              <w:top w:val="single" w:color="auto" w:sz="4" w:space="0"/>
              <w:left w:val="single" w:color="auto" w:sz="4" w:space="0"/>
              <w:bottom w:val="single" w:color="auto" w:sz="4" w:space="0"/>
              <w:right w:val="single" w:color="auto" w:sz="4" w:space="0"/>
            </w:tcBorders>
            <w:noWrap w:val="0"/>
            <w:vAlign w:val="center"/>
          </w:tcPr>
          <w:p w14:paraId="75E5BCE5">
            <w:pPr>
              <w:keepNext w:val="0"/>
              <w:keepLines w:val="0"/>
              <w:pageBreakBefore w:val="0"/>
              <w:widowControl/>
              <w:numPr>
                <w:ilvl w:val="0"/>
                <w:numId w:val="4"/>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每半年开展一次巡检工作。</w:t>
            </w:r>
          </w:p>
          <w:p w14:paraId="1F6B0D15">
            <w:pPr>
              <w:keepNext w:val="0"/>
              <w:keepLines w:val="0"/>
              <w:pageBreakBefore w:val="0"/>
              <w:widowControl/>
              <w:numPr>
                <w:ilvl w:val="0"/>
                <w:numId w:val="4"/>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巡检范围包括门户网站、LIS系统、PACS系统、OA业务系统、HIS系统等，涉及机房的所有服务器、核心网络设备、安全设备。（若整改过程新增安全设备，在服务期内进行安全巡检工作）。</w:t>
            </w:r>
          </w:p>
          <w:p w14:paraId="0CCF7F9D">
            <w:pPr>
              <w:keepNext w:val="0"/>
              <w:keepLines w:val="0"/>
              <w:pageBreakBefore w:val="0"/>
              <w:widowControl/>
              <w:numPr>
                <w:ilvl w:val="0"/>
                <w:numId w:val="4"/>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漏洞扫描、渗透测试涉及门户网站、LIS系统、PACS系统、OA业务系统、HIS系统等和相关服务器、数据库。</w:t>
            </w:r>
          </w:p>
          <w:p w14:paraId="41ACA9F7">
            <w:pPr>
              <w:keepNext w:val="0"/>
              <w:keepLines w:val="0"/>
              <w:pageBreakBefore w:val="0"/>
              <w:widowControl/>
              <w:numPr>
                <w:ilvl w:val="0"/>
                <w:numId w:val="4"/>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提交《资产台账表》和《漏洞台账表》，每季度进行更新。</w:t>
            </w:r>
          </w:p>
          <w:p w14:paraId="50C53704">
            <w:pPr>
              <w:keepNext w:val="0"/>
              <w:keepLines w:val="0"/>
              <w:pageBreakBefore w:val="0"/>
              <w:widowControl/>
              <w:numPr>
                <w:ilvl w:val="0"/>
                <w:numId w:val="4"/>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pacing w:val="-4"/>
                <w:sz w:val="22"/>
                <w:szCs w:val="22"/>
                <w:lang w:eastAsia="zh-CN"/>
              </w:rPr>
            </w:pPr>
            <w:r>
              <w:rPr>
                <w:rFonts w:hint="eastAsia" w:ascii="仿宋_GB2312" w:hAnsi="仿宋_GB2312" w:eastAsia="仿宋_GB2312" w:cs="仿宋_GB2312"/>
                <w:color w:val="000000"/>
                <w:sz w:val="22"/>
                <w:szCs w:val="22"/>
              </w:rPr>
              <w:t>每半年出具《网络安全巡检报告》。</w:t>
            </w:r>
          </w:p>
        </w:tc>
      </w:tr>
      <w:tr w14:paraId="7C50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14:paraId="59E12695">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3</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AE087B1">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全网风险评估服务</w:t>
            </w:r>
          </w:p>
        </w:tc>
        <w:tc>
          <w:tcPr>
            <w:tcW w:w="6110" w:type="dxa"/>
            <w:tcBorders>
              <w:top w:val="single" w:color="auto" w:sz="4" w:space="0"/>
              <w:left w:val="single" w:color="auto" w:sz="4" w:space="0"/>
              <w:bottom w:val="single" w:color="auto" w:sz="4" w:space="0"/>
              <w:right w:val="single" w:color="auto" w:sz="4" w:space="0"/>
            </w:tcBorders>
            <w:noWrap w:val="0"/>
            <w:vAlign w:val="center"/>
          </w:tcPr>
          <w:p w14:paraId="14568B54">
            <w:pPr>
              <w:keepNext w:val="0"/>
              <w:keepLines w:val="0"/>
              <w:pageBreakBefore w:val="0"/>
              <w:widowControl/>
              <w:numPr>
                <w:ilvl w:val="0"/>
                <w:numId w:val="5"/>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通过梳理、资产识别，建立信息系统、IT设施台账，梳理信息资产责任人、详细记录设备部署、服务配置等内容。（资产台账在定期巡检过程每季度更新）</w:t>
            </w:r>
          </w:p>
          <w:p w14:paraId="4E463E5B">
            <w:pPr>
              <w:keepNext w:val="0"/>
              <w:keepLines w:val="0"/>
              <w:pageBreakBefore w:val="0"/>
              <w:widowControl/>
              <w:numPr>
                <w:ilvl w:val="0"/>
                <w:numId w:val="5"/>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针对所有信息系统，采取漏洞扫描、渗透测试、安全基线配置核查和病毒木马专项检查等方式，全面评估网络安全的工作，识别、分析威胁、脆弱性，形成风险评估报告。</w:t>
            </w:r>
          </w:p>
          <w:p w14:paraId="4EDB0814">
            <w:pPr>
              <w:keepNext w:val="0"/>
              <w:keepLines w:val="0"/>
              <w:pageBreakBefore w:val="0"/>
              <w:widowControl/>
              <w:numPr>
                <w:ilvl w:val="0"/>
                <w:numId w:val="5"/>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评估范围包括门户网站、LIS系统、PACS系统、OA业务系统、HIS系统等，涉及机房的所有服务器、核心网络设备、安全设备等信息资产。</w:t>
            </w:r>
          </w:p>
          <w:p w14:paraId="14652C67">
            <w:pPr>
              <w:keepNext w:val="0"/>
              <w:keepLines w:val="0"/>
              <w:pageBreakBefore w:val="0"/>
              <w:widowControl/>
              <w:numPr>
                <w:ilvl w:val="0"/>
                <w:numId w:val="5"/>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业务系统相关服务器、网络设备、安全设备等信息资产的型号、登录方式及密码、管理人员</w:t>
            </w:r>
            <w:r>
              <w:rPr>
                <w:rFonts w:hint="eastAsia" w:ascii="仿宋_GB2312" w:hAnsi="仿宋_GB2312" w:eastAsia="仿宋_GB2312" w:cs="仿宋_GB2312"/>
                <w:color w:val="000000"/>
                <w:sz w:val="22"/>
                <w:szCs w:val="22"/>
                <w:lang w:eastAsia="zh-CN"/>
              </w:rPr>
              <w:t>、</w:t>
            </w:r>
            <w:r>
              <w:rPr>
                <w:rFonts w:hint="eastAsia" w:ascii="仿宋_GB2312" w:hAnsi="仿宋_GB2312" w:eastAsia="仿宋_GB2312" w:cs="仿宋_GB2312"/>
                <w:color w:val="000000"/>
                <w:sz w:val="22"/>
                <w:szCs w:val="22"/>
              </w:rPr>
              <w:t>物理位置</w:t>
            </w:r>
            <w:r>
              <w:rPr>
                <w:rFonts w:hint="eastAsia" w:ascii="仿宋_GB2312" w:hAnsi="仿宋_GB2312" w:eastAsia="仿宋_GB2312" w:cs="仿宋_GB2312"/>
                <w:color w:val="000000"/>
                <w:sz w:val="22"/>
                <w:szCs w:val="22"/>
                <w:lang w:val="en-US" w:eastAsia="zh-CN"/>
              </w:rPr>
              <w:t>等资产识别梳理</w:t>
            </w:r>
            <w:r>
              <w:rPr>
                <w:rFonts w:hint="eastAsia" w:ascii="仿宋_GB2312" w:hAnsi="仿宋_GB2312" w:eastAsia="仿宋_GB2312" w:cs="仿宋_GB2312"/>
                <w:color w:val="000000"/>
                <w:sz w:val="22"/>
                <w:szCs w:val="22"/>
              </w:rPr>
              <w:t>。</w:t>
            </w:r>
          </w:p>
          <w:p w14:paraId="433D795D">
            <w:pPr>
              <w:keepNext w:val="0"/>
              <w:keepLines w:val="0"/>
              <w:pageBreakBefore w:val="0"/>
              <w:widowControl/>
              <w:numPr>
                <w:ilvl w:val="0"/>
                <w:numId w:val="5"/>
              </w:numPr>
              <w:kinsoku/>
              <w:overflowPunct/>
              <w:topLinePunct w:val="0"/>
              <w:autoSpaceDE/>
              <w:autoSpaceDN/>
              <w:bidi w:val="0"/>
              <w:adjustRightInd/>
              <w:snapToGrid/>
              <w:spacing w:line="360" w:lineRule="auto"/>
              <w:ind w:left="425" w:leftChars="0" w:hanging="425" w:firstLineChars="0"/>
              <w:textAlignment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z w:val="22"/>
                <w:szCs w:val="22"/>
              </w:rPr>
              <w:t>按照国家标准风险评估规范、网络安全等级保护测评等相关要求进行基线检查。</w:t>
            </w:r>
          </w:p>
        </w:tc>
      </w:tr>
      <w:tr w14:paraId="7EB8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14:paraId="48FD60F1">
            <w:pPr>
              <w:keepNext w:val="0"/>
              <w:keepLines w:val="0"/>
              <w:pageBreakBefore w:val="0"/>
              <w:kinsoku/>
              <w:overflowPunct/>
              <w:topLinePunct w:val="0"/>
              <w:autoSpaceDE/>
              <w:autoSpaceDN/>
              <w:bidi w:val="0"/>
              <w:adjustRightInd/>
              <w:snapToGrid/>
              <w:spacing w:after="200" w:line="360" w:lineRule="auto"/>
              <w:jc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4</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D457E3C">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网络安全教育意识培训</w:t>
            </w:r>
          </w:p>
        </w:tc>
        <w:tc>
          <w:tcPr>
            <w:tcW w:w="6110" w:type="dxa"/>
            <w:tcBorders>
              <w:top w:val="single" w:color="auto" w:sz="4" w:space="0"/>
              <w:left w:val="single" w:color="auto" w:sz="4" w:space="0"/>
              <w:bottom w:val="single" w:color="auto" w:sz="4" w:space="0"/>
              <w:right w:val="single" w:color="auto" w:sz="4" w:space="0"/>
            </w:tcBorders>
            <w:noWrap w:val="0"/>
            <w:vAlign w:val="center"/>
          </w:tcPr>
          <w:p w14:paraId="1A601810">
            <w:pPr>
              <w:keepNext w:val="0"/>
              <w:keepLines w:val="0"/>
              <w:pageBreakBefore w:val="0"/>
              <w:kinsoku/>
              <w:overflowPunct/>
              <w:topLinePunct w:val="0"/>
              <w:autoSpaceDE/>
              <w:autoSpaceDN/>
              <w:bidi w:val="0"/>
              <w:adjustRightInd/>
              <w:snapToGrid/>
              <w:spacing w:after="200" w:line="360" w:lineRule="auto"/>
              <w:jc w:val="left"/>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z w:val="22"/>
                <w:szCs w:val="22"/>
              </w:rPr>
              <w:t>提供网络安全技术专题培训，培训主题包括但不限于：等保测评2.0解读、网络安全意识、政策、网络知识、日常安全防护、应急处置、密码应用以及网络安全管理运维等。</w:t>
            </w:r>
          </w:p>
        </w:tc>
      </w:tr>
      <w:tr w14:paraId="0E0E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14:paraId="76D8CB8A">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5</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99E347D">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应急演练</w:t>
            </w:r>
          </w:p>
        </w:tc>
        <w:tc>
          <w:tcPr>
            <w:tcW w:w="6110" w:type="dxa"/>
            <w:tcBorders>
              <w:top w:val="single" w:color="auto" w:sz="4" w:space="0"/>
              <w:left w:val="single" w:color="auto" w:sz="4" w:space="0"/>
              <w:bottom w:val="single" w:color="auto" w:sz="4" w:space="0"/>
              <w:right w:val="single" w:color="auto" w:sz="4" w:space="0"/>
            </w:tcBorders>
            <w:noWrap w:val="0"/>
            <w:vAlign w:val="center"/>
          </w:tcPr>
          <w:p w14:paraId="6D72E5FB">
            <w:pPr>
              <w:keepNext w:val="0"/>
              <w:keepLines w:val="0"/>
              <w:pageBreakBefore w:val="0"/>
              <w:widowControl/>
              <w:numPr>
                <w:ilvl w:val="0"/>
                <w:numId w:val="6"/>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协助修订整体应急预案以及不同场景应急预案</w:t>
            </w:r>
            <w:r>
              <w:rPr>
                <w:rFonts w:hint="eastAsia" w:ascii="仿宋_GB2312" w:hAnsi="仿宋_GB2312" w:eastAsia="仿宋_GB2312" w:cs="仿宋_GB2312"/>
                <w:color w:val="000000"/>
                <w:sz w:val="22"/>
                <w:szCs w:val="22"/>
                <w:lang w:eastAsia="zh-CN"/>
              </w:rPr>
              <w:t>。</w:t>
            </w:r>
          </w:p>
          <w:p w14:paraId="24FEA061">
            <w:pPr>
              <w:keepNext w:val="0"/>
              <w:keepLines w:val="0"/>
              <w:pageBreakBefore w:val="0"/>
              <w:widowControl/>
              <w:numPr>
                <w:ilvl w:val="0"/>
                <w:numId w:val="6"/>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z w:val="22"/>
                <w:szCs w:val="22"/>
              </w:rPr>
              <w:t>每个系统可提供多种场景以上故障事件场景进行应急演练操作；根据应急预案制度应急演练方案，明确演练参与人员、工作职责及演练范围和故障事件场景；配合虚拟演练场景搭建；根据演练方案开展现场应急演练；</w:t>
            </w:r>
            <w:r>
              <w:rPr>
                <w:rFonts w:hint="eastAsia" w:ascii="仿宋_GB2312" w:hAnsi="仿宋_GB2312" w:eastAsia="仿宋_GB2312" w:cs="仿宋_GB2312"/>
                <w:color w:val="000000"/>
                <w:sz w:val="22"/>
                <w:szCs w:val="22"/>
                <w:lang w:val="en-US" w:eastAsia="zh-CN"/>
              </w:rPr>
              <w:t>出具</w:t>
            </w:r>
            <w:r>
              <w:rPr>
                <w:rFonts w:hint="eastAsia" w:ascii="仿宋_GB2312" w:hAnsi="仿宋_GB2312" w:eastAsia="仿宋_GB2312" w:cs="仿宋_GB2312"/>
                <w:color w:val="000000"/>
                <w:sz w:val="22"/>
                <w:szCs w:val="22"/>
              </w:rPr>
              <w:t>应急演练报告。</w:t>
            </w:r>
          </w:p>
        </w:tc>
      </w:tr>
      <w:tr w14:paraId="40DD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14:paraId="349CDFF0">
            <w:pPr>
              <w:keepNext w:val="0"/>
              <w:keepLines w:val="0"/>
              <w:pageBreakBefore w:val="0"/>
              <w:kinsoku/>
              <w:overflowPunct/>
              <w:topLinePunct w:val="0"/>
              <w:autoSpaceDE/>
              <w:autoSpaceDN/>
              <w:bidi w:val="0"/>
              <w:adjustRightInd/>
              <w:snapToGrid/>
              <w:spacing w:after="200" w:line="360" w:lineRule="auto"/>
              <w:jc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6</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3CF543E">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应急响应</w:t>
            </w:r>
          </w:p>
        </w:tc>
        <w:tc>
          <w:tcPr>
            <w:tcW w:w="6110" w:type="dxa"/>
            <w:tcBorders>
              <w:top w:val="single" w:color="auto" w:sz="4" w:space="0"/>
              <w:left w:val="single" w:color="auto" w:sz="4" w:space="0"/>
              <w:bottom w:val="single" w:color="auto" w:sz="4" w:space="0"/>
              <w:right w:val="single" w:color="auto" w:sz="4" w:space="0"/>
            </w:tcBorders>
            <w:noWrap w:val="0"/>
            <w:vAlign w:val="center"/>
          </w:tcPr>
          <w:p w14:paraId="18F071A8">
            <w:pPr>
              <w:keepNext w:val="0"/>
              <w:keepLines w:val="0"/>
              <w:pageBreakBefore w:val="0"/>
              <w:widowControl/>
              <w:numPr>
                <w:ilvl w:val="0"/>
                <w:numId w:val="7"/>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提供现场及远程（非紧急时）技术支撑</w:t>
            </w:r>
            <w:r>
              <w:rPr>
                <w:rFonts w:hint="eastAsia" w:ascii="仿宋_GB2312" w:hAnsi="仿宋_GB2312" w:eastAsia="仿宋_GB2312" w:cs="仿宋_GB2312"/>
                <w:color w:val="000000"/>
                <w:sz w:val="22"/>
                <w:szCs w:val="22"/>
              </w:rPr>
              <w:t>。</w:t>
            </w:r>
          </w:p>
          <w:p w14:paraId="7C4822FE">
            <w:pPr>
              <w:keepNext w:val="0"/>
              <w:keepLines w:val="0"/>
              <w:pageBreakBefore w:val="0"/>
              <w:widowControl/>
              <w:numPr>
                <w:ilvl w:val="0"/>
                <w:numId w:val="7"/>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对上级部门网络安全预警进行排查。</w:t>
            </w:r>
          </w:p>
          <w:p w14:paraId="701F9842">
            <w:pPr>
              <w:keepNext w:val="0"/>
              <w:keepLines w:val="0"/>
              <w:pageBreakBefore w:val="0"/>
              <w:widowControl/>
              <w:numPr>
                <w:ilvl w:val="0"/>
                <w:numId w:val="7"/>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提供应急处置报告。</w:t>
            </w:r>
          </w:p>
        </w:tc>
      </w:tr>
    </w:tbl>
    <w:p w14:paraId="2995A267">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评分办法：</w:t>
      </w:r>
    </w:p>
    <w:tbl>
      <w:tblPr>
        <w:tblStyle w:val="13"/>
        <w:tblpPr w:leftFromText="180" w:rightFromText="180" w:vertAnchor="text" w:horzAnchor="page" w:tblpX="1805" w:tblpY="46"/>
        <w:tblOverlap w:val="never"/>
        <w:tblW w:w="8590" w:type="dxa"/>
        <w:tblInd w:w="0" w:type="dxa"/>
        <w:tblLayout w:type="fixed"/>
        <w:tblCellMar>
          <w:top w:w="0" w:type="dxa"/>
          <w:left w:w="108" w:type="dxa"/>
          <w:bottom w:w="0" w:type="dxa"/>
          <w:right w:w="108" w:type="dxa"/>
        </w:tblCellMar>
      </w:tblPr>
      <w:tblGrid>
        <w:gridCol w:w="720"/>
        <w:gridCol w:w="1508"/>
        <w:gridCol w:w="1030"/>
        <w:gridCol w:w="5332"/>
      </w:tblGrid>
      <w:tr w14:paraId="1540158C">
        <w:tblPrEx>
          <w:tblCellMar>
            <w:top w:w="0" w:type="dxa"/>
            <w:left w:w="108" w:type="dxa"/>
            <w:bottom w:w="0" w:type="dxa"/>
            <w:right w:w="108" w:type="dxa"/>
          </w:tblCellMar>
        </w:tblPrEx>
        <w:trPr>
          <w:trHeight w:val="10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21117824">
            <w:pPr>
              <w:widowControl/>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序号</w:t>
            </w:r>
          </w:p>
        </w:tc>
        <w:tc>
          <w:tcPr>
            <w:tcW w:w="150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5938C32F">
            <w:pPr>
              <w:widowControl/>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评分项目</w:t>
            </w:r>
          </w:p>
        </w:tc>
        <w:tc>
          <w:tcPr>
            <w:tcW w:w="1030"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41FA236A">
            <w:pPr>
              <w:widowControl/>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标准分</w:t>
            </w:r>
          </w:p>
        </w:tc>
        <w:tc>
          <w:tcPr>
            <w:tcW w:w="533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13B321B">
            <w:pPr>
              <w:widowControl/>
              <w:jc w:val="center"/>
              <w:textAlignment w:val="center"/>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kern w:val="0"/>
                <w:sz w:val="24"/>
                <w:szCs w:val="24"/>
                <w:highlight w:val="none"/>
                <w:lang w:val="en-US" w:eastAsia="zh-CN" w:bidi="ar"/>
              </w:rPr>
              <w:t>评分标准</w:t>
            </w:r>
          </w:p>
        </w:tc>
      </w:tr>
      <w:tr w14:paraId="4BCF0F45">
        <w:tblPrEx>
          <w:tblCellMar>
            <w:top w:w="0" w:type="dxa"/>
            <w:left w:w="108" w:type="dxa"/>
            <w:bottom w:w="0" w:type="dxa"/>
            <w:right w:w="108" w:type="dxa"/>
          </w:tblCellMar>
        </w:tblPrEx>
        <w:trPr>
          <w:trHeight w:val="344"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11D80C54">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1</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50D8AD36">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投标报价</w:t>
            </w:r>
          </w:p>
        </w:tc>
        <w:tc>
          <w:tcPr>
            <w:tcW w:w="1030" w:type="dxa"/>
            <w:tcBorders>
              <w:top w:val="single" w:color="000000" w:sz="4" w:space="0"/>
              <w:left w:val="single" w:color="000000" w:sz="4" w:space="0"/>
              <w:bottom w:val="single" w:color="000000" w:sz="4" w:space="0"/>
              <w:right w:val="single" w:color="000000" w:sz="4" w:space="0"/>
            </w:tcBorders>
            <w:noWrap/>
            <w:vAlign w:val="center"/>
          </w:tcPr>
          <w:p w14:paraId="3B7DE1BF">
            <w:pPr>
              <w:keepNext w:val="0"/>
              <w:keepLines w:val="0"/>
              <w:pageBreakBefore w:val="0"/>
              <w:kinsoku/>
              <w:overflowPunct/>
              <w:topLinePunct w:val="0"/>
              <w:autoSpaceDE/>
              <w:autoSpaceDN/>
              <w:bidi w:val="0"/>
              <w:adjustRightInd/>
              <w:snapToGrid/>
              <w:spacing w:after="200" w:line="360" w:lineRule="auto"/>
              <w:jc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20</w:t>
            </w:r>
          </w:p>
        </w:tc>
        <w:tc>
          <w:tcPr>
            <w:tcW w:w="5332" w:type="dxa"/>
            <w:tcBorders>
              <w:top w:val="single" w:color="000000" w:sz="4" w:space="0"/>
              <w:left w:val="single" w:color="000000" w:sz="4" w:space="0"/>
              <w:bottom w:val="single" w:color="000000" w:sz="4" w:space="0"/>
              <w:right w:val="single" w:color="000000" w:sz="4" w:space="0"/>
            </w:tcBorders>
            <w:noWrap/>
            <w:vAlign w:val="top"/>
          </w:tcPr>
          <w:p w14:paraId="7F1238CC">
            <w:pPr>
              <w:numPr>
                <w:ilvl w:val="0"/>
                <w:numId w:val="0"/>
              </w:numPr>
              <w:spacing w:line="360" w:lineRule="exact"/>
              <w:ind w:left="0" w:leftChars="0" w:firstLine="418" w:firstLineChars="190"/>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经评审合格的各投标人投标价的算术平均价</w:t>
            </w:r>
            <w:r>
              <w:rPr>
                <w:rFonts w:hint="eastAsia" w:ascii="仿宋_GB2312" w:hAnsi="仿宋_GB2312" w:eastAsia="仿宋_GB2312" w:cs="仿宋_GB2312"/>
                <w:sz w:val="22"/>
                <w:szCs w:val="22"/>
                <w:lang w:val="en-US" w:eastAsia="zh-CN"/>
              </w:rPr>
              <w:t>为基准价</w:t>
            </w:r>
            <w:r>
              <w:rPr>
                <w:rFonts w:hint="eastAsia" w:ascii="仿宋_GB2312" w:hAnsi="仿宋_GB2312" w:eastAsia="仿宋_GB2312" w:cs="仿宋_GB2312"/>
                <w:sz w:val="22"/>
                <w:szCs w:val="22"/>
              </w:rPr>
              <w:t>，超出采购人预算价</w:t>
            </w:r>
            <w:r>
              <w:rPr>
                <w:rFonts w:hint="eastAsia" w:ascii="仿宋_GB2312" w:hAnsi="仿宋_GB2312" w:eastAsia="仿宋_GB2312" w:cs="仿宋_GB2312"/>
                <w:sz w:val="22"/>
                <w:szCs w:val="22"/>
                <w:lang w:val="en-US" w:eastAsia="zh-CN"/>
              </w:rPr>
              <w:t>或</w:t>
            </w:r>
            <w:r>
              <w:rPr>
                <w:rFonts w:hint="eastAsia" w:ascii="仿宋_GB2312" w:hAnsi="仿宋_GB2312" w:eastAsia="仿宋_GB2312" w:cs="仿宋_GB2312"/>
                <w:sz w:val="22"/>
                <w:szCs w:val="22"/>
              </w:rPr>
              <w:t>低于项目预算价格50%的报价为无效报价</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不作为评标基准价</w:t>
            </w:r>
            <w:r>
              <w:rPr>
                <w:rFonts w:hint="eastAsia" w:ascii="仿宋_GB2312" w:hAnsi="仿宋_GB2312" w:eastAsia="仿宋_GB2312" w:cs="仿宋_GB2312"/>
                <w:sz w:val="22"/>
                <w:szCs w:val="22"/>
                <w:lang w:eastAsia="zh-CN"/>
              </w:rPr>
              <w:t>；</w:t>
            </w:r>
          </w:p>
          <w:p w14:paraId="709294AD">
            <w:pPr>
              <w:numPr>
                <w:ilvl w:val="0"/>
                <w:numId w:val="0"/>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投标人的有效投标价等于评标基准价时，其报价分为满分</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0分；</w:t>
            </w:r>
            <w:r>
              <w:rPr>
                <w:rFonts w:hint="eastAsia" w:ascii="仿宋_GB2312" w:hAnsi="仿宋_GB2312" w:eastAsia="仿宋_GB2312" w:cs="仿宋_GB2312"/>
                <w:sz w:val="22"/>
                <w:szCs w:val="22"/>
                <w:lang w:val="en-US" w:eastAsia="zh-CN"/>
              </w:rPr>
              <w:t>四舍五入</w:t>
            </w:r>
            <w:r>
              <w:rPr>
                <w:rFonts w:hint="eastAsia" w:ascii="仿宋_GB2312" w:hAnsi="仿宋_GB2312" w:eastAsia="仿宋_GB2312" w:cs="仿宋_GB2312"/>
                <w:sz w:val="22"/>
                <w:szCs w:val="22"/>
              </w:rPr>
              <w:t>保留两位小数</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每高于基准价一个百分点扣1分，每低于基准价一个百分点扣0.5分</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扣完为止；</w:t>
            </w:r>
          </w:p>
          <w:p w14:paraId="23527720">
            <w:pPr>
              <w:numPr>
                <w:ilvl w:val="0"/>
                <w:numId w:val="0"/>
              </w:numPr>
              <w:spacing w:line="360" w:lineRule="exact"/>
              <w:ind w:left="0" w:leftChars="0" w:firstLine="418" w:firstLineChars="190"/>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如投标人报价为无效报价，其报价得分为零分</w:t>
            </w:r>
            <w:r>
              <w:rPr>
                <w:rFonts w:hint="eastAsia" w:ascii="仿宋_GB2312" w:hAnsi="仿宋_GB2312" w:eastAsia="仿宋_GB2312" w:cs="仿宋_GB2312"/>
                <w:sz w:val="22"/>
                <w:szCs w:val="22"/>
                <w:lang w:eastAsia="zh-CN"/>
              </w:rPr>
              <w:t>；</w:t>
            </w:r>
          </w:p>
          <w:p w14:paraId="35D9D9D5">
            <w:pPr>
              <w:numPr>
                <w:ilvl w:val="0"/>
                <w:numId w:val="0"/>
              </w:numPr>
              <w:spacing w:line="360" w:lineRule="exact"/>
              <w:ind w:left="0" w:leftChars="0" w:firstLine="418" w:firstLineChars="190"/>
              <w:rPr>
                <w:rFonts w:hint="eastAsia"/>
              </w:rPr>
            </w:pPr>
            <w:r>
              <w:rPr>
                <w:rFonts w:hint="eastAsia" w:ascii="仿宋_GB2312" w:hAnsi="仿宋_GB2312" w:eastAsia="仿宋_GB2312" w:cs="仿宋_GB2312"/>
                <w:sz w:val="22"/>
                <w:szCs w:val="22"/>
              </w:rPr>
              <w:t>如投标人的报价均为无效报价，且采购人不能接受的将重新招标。</w:t>
            </w:r>
          </w:p>
        </w:tc>
      </w:tr>
      <w:tr w14:paraId="6B5C7526">
        <w:tblPrEx>
          <w:tblCellMar>
            <w:top w:w="0" w:type="dxa"/>
            <w:left w:w="108" w:type="dxa"/>
            <w:bottom w:w="0" w:type="dxa"/>
            <w:right w:w="108" w:type="dxa"/>
          </w:tblCellMar>
        </w:tblPrEx>
        <w:trPr>
          <w:trHeight w:val="864"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7ADCE215">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2</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7F940904">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技术方案</w:t>
            </w:r>
          </w:p>
        </w:tc>
        <w:tc>
          <w:tcPr>
            <w:tcW w:w="1030" w:type="dxa"/>
            <w:tcBorders>
              <w:top w:val="single" w:color="000000" w:sz="4" w:space="0"/>
              <w:left w:val="single" w:color="000000" w:sz="4" w:space="0"/>
              <w:bottom w:val="single" w:color="000000" w:sz="4" w:space="0"/>
              <w:right w:val="single" w:color="000000" w:sz="4" w:space="0"/>
            </w:tcBorders>
            <w:noWrap/>
            <w:vAlign w:val="center"/>
          </w:tcPr>
          <w:p w14:paraId="7834A549">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30</w:t>
            </w:r>
          </w:p>
        </w:tc>
        <w:tc>
          <w:tcPr>
            <w:tcW w:w="5332" w:type="dxa"/>
            <w:tcBorders>
              <w:top w:val="single" w:color="000000" w:sz="4" w:space="0"/>
              <w:left w:val="single" w:color="000000" w:sz="4" w:space="0"/>
              <w:bottom w:val="single" w:color="000000" w:sz="4" w:space="0"/>
              <w:right w:val="single" w:color="000000" w:sz="4" w:space="0"/>
            </w:tcBorders>
            <w:noWrap/>
            <w:vAlign w:val="top"/>
          </w:tcPr>
          <w:p w14:paraId="517CEB1B">
            <w:pPr>
              <w:numPr>
                <w:ilvl w:val="0"/>
                <w:numId w:val="8"/>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第一档次（</w:t>
            </w:r>
            <w:r>
              <w:rPr>
                <w:rFonts w:hint="eastAsia" w:ascii="仿宋_GB2312" w:hAnsi="仿宋_GB2312" w:eastAsia="仿宋_GB2312" w:cs="仿宋_GB2312"/>
                <w:sz w:val="22"/>
                <w:szCs w:val="22"/>
                <w:lang w:val="en-US" w:eastAsia="zh-CN"/>
              </w:rPr>
              <w:t>16-20</w:t>
            </w:r>
            <w:r>
              <w:rPr>
                <w:rFonts w:hint="eastAsia" w:ascii="仿宋_GB2312" w:hAnsi="仿宋_GB2312" w:eastAsia="仿宋_GB2312" w:cs="仿宋_GB2312"/>
                <w:sz w:val="22"/>
                <w:szCs w:val="22"/>
              </w:rPr>
              <w:t>分）：服务方案整体编制科学合理、重点突出，针对性强，完全满足采购人实际需求，测评服务方案、售后服务方案、风险把控、保密措施具体完整。</w:t>
            </w:r>
          </w:p>
          <w:p w14:paraId="095A02F0">
            <w:pPr>
              <w:numPr>
                <w:ilvl w:val="0"/>
                <w:numId w:val="8"/>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第二档次（</w:t>
            </w:r>
            <w:r>
              <w:rPr>
                <w:rFonts w:hint="eastAsia" w:ascii="仿宋_GB2312" w:hAnsi="仿宋_GB2312" w:eastAsia="仿宋_GB2312" w:cs="仿宋_GB2312"/>
                <w:sz w:val="22"/>
                <w:szCs w:val="22"/>
                <w:lang w:val="en-US" w:eastAsia="zh-CN"/>
              </w:rPr>
              <w:t>11</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15</w:t>
            </w:r>
            <w:r>
              <w:rPr>
                <w:rFonts w:hint="eastAsia" w:ascii="仿宋_GB2312" w:hAnsi="仿宋_GB2312" w:eastAsia="仿宋_GB2312" w:cs="仿宋_GB2312"/>
                <w:sz w:val="22"/>
                <w:szCs w:val="22"/>
              </w:rPr>
              <w:t>分）：服务方案整体编制合理，有侧重点，有一定针对性，基本满足采购人实际需求；测评服务方案、售后服务方案、风险把控、保密措施合理。</w:t>
            </w:r>
          </w:p>
          <w:p w14:paraId="6FA9D3A4">
            <w:pPr>
              <w:numPr>
                <w:ilvl w:val="0"/>
                <w:numId w:val="8"/>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第三档次（</w:t>
            </w:r>
            <w:r>
              <w:rPr>
                <w:rFonts w:hint="eastAsia" w:ascii="仿宋_GB2312" w:hAnsi="仿宋_GB2312" w:eastAsia="仿宋_GB2312" w:cs="仿宋_GB2312"/>
                <w:sz w:val="22"/>
                <w:szCs w:val="22"/>
                <w:lang w:val="en-US" w:eastAsia="zh-CN"/>
              </w:rPr>
              <w:t>6</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分）：服务方案整体编制基本合理，有侧重点，有一定针对性，基本满足采购人实际需求；测评服务方案、售后服务方案、风险把控、保密措施基本合理。</w:t>
            </w:r>
          </w:p>
          <w:p w14:paraId="284D233A">
            <w:pPr>
              <w:numPr>
                <w:ilvl w:val="0"/>
                <w:numId w:val="8"/>
              </w:numPr>
              <w:ind w:left="0" w:leftChars="0" w:firstLine="0" w:firstLineChar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第四档次（0-</w:t>
            </w:r>
            <w:r>
              <w:rPr>
                <w:rFonts w:hint="eastAsia" w:ascii="仿宋_GB2312" w:hAnsi="仿宋_GB2312" w:eastAsia="仿宋_GB2312" w:cs="仿宋_GB2312"/>
                <w:sz w:val="22"/>
                <w:szCs w:val="22"/>
                <w:lang w:val="en-US" w:eastAsia="zh-CN"/>
              </w:rPr>
              <w:t>5</w:t>
            </w:r>
            <w:r>
              <w:rPr>
                <w:rFonts w:hint="eastAsia" w:ascii="仿宋_GB2312" w:hAnsi="仿宋_GB2312" w:eastAsia="仿宋_GB2312" w:cs="仿宋_GB2312"/>
                <w:sz w:val="22"/>
                <w:szCs w:val="22"/>
              </w:rPr>
              <w:t>分）：服务方案编制粗糙、杂乱、未突出重点，针对性差，无法满足采购人实际需求；</w:t>
            </w:r>
          </w:p>
          <w:p w14:paraId="02DE1C26">
            <w:pPr>
              <w:numPr>
                <w:ilvl w:val="0"/>
                <w:numId w:val="8"/>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投标人服务期间所选用的安全工具中包含：</w:t>
            </w:r>
          </w:p>
          <w:p w14:paraId="5E63FEDE">
            <w:pPr>
              <w:numPr>
                <w:ilvl w:val="1"/>
                <w:numId w:val="8"/>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包含有漏洞扫描工具，得</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分；</w:t>
            </w:r>
          </w:p>
          <w:p w14:paraId="7A36A607">
            <w:pPr>
              <w:numPr>
                <w:ilvl w:val="1"/>
                <w:numId w:val="8"/>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包含WEB 应用扫描工具，得</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分；</w:t>
            </w:r>
          </w:p>
          <w:p w14:paraId="2950917D">
            <w:pPr>
              <w:numPr>
                <w:ilvl w:val="1"/>
                <w:numId w:val="8"/>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包含数据库核查工具，得</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分；</w:t>
            </w:r>
          </w:p>
          <w:p w14:paraId="46300F79">
            <w:pPr>
              <w:numPr>
                <w:ilvl w:val="1"/>
                <w:numId w:val="8"/>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包含网络检查工具，得</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分；</w:t>
            </w:r>
          </w:p>
          <w:p w14:paraId="628D5BE9">
            <w:pPr>
              <w:numPr>
                <w:ilvl w:val="1"/>
                <w:numId w:val="8"/>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包含恶意代码检查工具，得</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分。</w:t>
            </w:r>
          </w:p>
          <w:p w14:paraId="1F5BC9CC">
            <w:pPr>
              <w:numPr>
                <w:ilvl w:val="0"/>
                <w:numId w:val="0"/>
              </w:numPr>
              <w:spacing w:line="360" w:lineRule="exact"/>
              <w:ind w:left="0" w:leftChars="0" w:firstLine="418" w:firstLineChars="190"/>
              <w:rPr>
                <w:rFonts w:hint="eastAsia" w:ascii="宋体" w:hAnsi="宋体" w:cs="仿宋_GB2312"/>
                <w:szCs w:val="21"/>
              </w:rPr>
            </w:pPr>
            <w:r>
              <w:rPr>
                <w:rFonts w:hint="eastAsia" w:ascii="仿宋_GB2312" w:hAnsi="仿宋_GB2312" w:eastAsia="仿宋_GB2312" w:cs="仿宋_GB2312"/>
                <w:sz w:val="22"/>
                <w:szCs w:val="22"/>
              </w:rPr>
              <w:t>（以上工具可以是自主开发、采购第三方工具，自主开发需要提供软件著作等证明材料，第三方工具需要提供采购合同</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w:t>
            </w:r>
          </w:p>
        </w:tc>
      </w:tr>
      <w:tr w14:paraId="3E5FD77E">
        <w:tblPrEx>
          <w:tblCellMar>
            <w:top w:w="0" w:type="dxa"/>
            <w:left w:w="108" w:type="dxa"/>
            <w:bottom w:w="0" w:type="dxa"/>
            <w:right w:w="108" w:type="dxa"/>
          </w:tblCellMar>
        </w:tblPrEx>
        <w:trPr>
          <w:trHeight w:val="864"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5A7DD918">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3</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39A20CE7">
            <w:pPr>
              <w:keepNext w:val="0"/>
              <w:keepLines w:val="0"/>
              <w:pageBreakBefore w:val="0"/>
              <w:kinsoku/>
              <w:overflowPunct/>
              <w:topLinePunct w:val="0"/>
              <w:autoSpaceDE/>
              <w:autoSpaceDN/>
              <w:bidi w:val="0"/>
              <w:adjustRightInd/>
              <w:snapToGrid/>
              <w:spacing w:after="200" w:line="360" w:lineRule="auto"/>
              <w:jc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供应商资质</w:t>
            </w:r>
          </w:p>
        </w:tc>
        <w:tc>
          <w:tcPr>
            <w:tcW w:w="1030" w:type="dxa"/>
            <w:tcBorders>
              <w:top w:val="single" w:color="000000" w:sz="4" w:space="0"/>
              <w:left w:val="single" w:color="000000" w:sz="4" w:space="0"/>
              <w:bottom w:val="single" w:color="000000" w:sz="4" w:space="0"/>
              <w:right w:val="single" w:color="000000" w:sz="4" w:space="0"/>
            </w:tcBorders>
            <w:noWrap/>
            <w:vAlign w:val="center"/>
          </w:tcPr>
          <w:p w14:paraId="0979E5C8">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30</w:t>
            </w:r>
          </w:p>
        </w:tc>
        <w:tc>
          <w:tcPr>
            <w:tcW w:w="5332" w:type="dxa"/>
            <w:tcBorders>
              <w:top w:val="single" w:color="000000" w:sz="4" w:space="0"/>
              <w:left w:val="single" w:color="000000" w:sz="4" w:space="0"/>
              <w:bottom w:val="single" w:color="000000" w:sz="4" w:space="0"/>
              <w:right w:val="single" w:color="000000" w:sz="4" w:space="0"/>
            </w:tcBorders>
            <w:noWrap/>
            <w:vAlign w:val="top"/>
          </w:tcPr>
          <w:p w14:paraId="2E2A5D57">
            <w:pPr>
              <w:numPr>
                <w:ilvl w:val="0"/>
                <w:numId w:val="9"/>
              </w:numPr>
              <w:spacing w:line="360" w:lineRule="exact"/>
              <w:ind w:left="0" w:leftChars="0" w:firstLine="0" w:firstLineChars="0"/>
              <w:rPr>
                <w:rFonts w:ascii="宋体" w:hAnsi="宋体" w:cs="宋体"/>
                <w:kern w:val="0"/>
                <w:sz w:val="24"/>
                <w:szCs w:val="24"/>
              </w:rPr>
            </w:pPr>
            <w:r>
              <w:rPr>
                <w:rFonts w:hint="eastAsia" w:ascii="仿宋_GB2312" w:hAnsi="仿宋_GB2312" w:eastAsia="仿宋_GB2312" w:cs="仿宋_GB2312"/>
                <w:sz w:val="22"/>
                <w:szCs w:val="22"/>
              </w:rPr>
              <w:t>具备</w:t>
            </w:r>
            <w:r>
              <w:rPr>
                <w:rFonts w:hint="eastAsia" w:ascii="仿宋_GB2312" w:hAnsi="仿宋_GB2312" w:eastAsia="仿宋_GB2312" w:cs="仿宋_GB2312"/>
                <w:sz w:val="22"/>
                <w:szCs w:val="22"/>
                <w:lang w:val="zh-CN"/>
              </w:rPr>
              <w:t>网络安全等级测评与检测评估机构服务认证证书，并在“中国网络安全等级保护网”全国网络安全等级测评与检测评估机构目录中，且近五年未被行业主管部门处罚、暂停业务等，得</w:t>
            </w:r>
            <w:r>
              <w:rPr>
                <w:rFonts w:hint="eastAsia" w:ascii="仿宋_GB2312" w:hAnsi="仿宋_GB2312" w:eastAsia="仿宋_GB2312" w:cs="仿宋_GB2312"/>
                <w:sz w:val="22"/>
                <w:szCs w:val="22"/>
                <w:lang w:val="en-US" w:eastAsia="zh-CN"/>
              </w:rPr>
              <w:t>5</w:t>
            </w:r>
            <w:r>
              <w:rPr>
                <w:rFonts w:hint="eastAsia" w:ascii="仿宋_GB2312" w:hAnsi="仿宋_GB2312" w:eastAsia="仿宋_GB2312" w:cs="仿宋_GB2312"/>
                <w:sz w:val="22"/>
                <w:szCs w:val="22"/>
                <w:lang w:val="zh-CN"/>
              </w:rPr>
              <w:t>分；</w:t>
            </w:r>
          </w:p>
          <w:p w14:paraId="6162D9D6">
            <w:pPr>
              <w:numPr>
                <w:ilvl w:val="0"/>
                <w:numId w:val="9"/>
              </w:numPr>
              <w:spacing w:line="360" w:lineRule="exact"/>
              <w:ind w:left="0" w:leftChars="0" w:firstLine="0" w:firstLineChars="0"/>
              <w:rPr>
                <w:rFonts w:hint="eastAsia" w:ascii="宋体" w:hAnsi="宋体" w:cs="宋体"/>
                <w:kern w:val="0"/>
                <w:sz w:val="24"/>
                <w:szCs w:val="24"/>
              </w:rPr>
            </w:pPr>
            <w:r>
              <w:rPr>
                <w:rFonts w:hint="eastAsia" w:ascii="仿宋_GB2312" w:hAnsi="仿宋_GB2312" w:eastAsia="仿宋_GB2312" w:cs="仿宋_GB2312"/>
                <w:sz w:val="22"/>
                <w:szCs w:val="22"/>
              </w:rPr>
              <w:t>具有中国合格评定国家认可委员会颁发的检验机构认可证书CNAS得</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分；</w:t>
            </w:r>
          </w:p>
          <w:p w14:paraId="656F1A53">
            <w:pPr>
              <w:numPr>
                <w:ilvl w:val="0"/>
                <w:numId w:val="9"/>
              </w:numPr>
              <w:spacing w:line="360" w:lineRule="exact"/>
              <w:ind w:left="0" w:leftChars="0" w:firstLine="0" w:firstLineChars="0"/>
              <w:rPr>
                <w:rFonts w:ascii="宋体" w:hAnsi="宋体" w:cs="宋体"/>
                <w:kern w:val="0"/>
                <w:sz w:val="24"/>
                <w:szCs w:val="24"/>
              </w:rPr>
            </w:pPr>
            <w:r>
              <w:rPr>
                <w:rFonts w:hint="eastAsia" w:ascii="仿宋_GB2312" w:hAnsi="仿宋_GB2312" w:eastAsia="仿宋_GB2312" w:cs="仿宋_GB2312"/>
                <w:sz w:val="22"/>
                <w:szCs w:val="22"/>
              </w:rPr>
              <w:t>投标人在《商用密码应用安全性评估试点机构目录》（国家密码管理 局第42号公告）中，得</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分；</w:t>
            </w:r>
          </w:p>
          <w:p w14:paraId="06652E44">
            <w:pPr>
              <w:numPr>
                <w:ilvl w:val="0"/>
                <w:numId w:val="9"/>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具备检验检测机构-资质认定证书（CMA）证书，得</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分</w:t>
            </w:r>
            <w:r>
              <w:rPr>
                <w:rFonts w:hint="eastAsia" w:ascii="仿宋_GB2312" w:hAnsi="仿宋_GB2312" w:eastAsia="仿宋_GB2312" w:cs="仿宋_GB2312"/>
                <w:sz w:val="22"/>
                <w:szCs w:val="22"/>
                <w:lang w:eastAsia="zh-CN"/>
              </w:rPr>
              <w:t>；</w:t>
            </w:r>
          </w:p>
          <w:p w14:paraId="5F1725EE">
            <w:pPr>
              <w:numPr>
                <w:ilvl w:val="0"/>
                <w:numId w:val="9"/>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具备中国通信企业协会颁发的网络安全服务能力评定证书（应急响应类</w:t>
            </w:r>
            <w:r>
              <w:rPr>
                <w:rFonts w:hint="eastAsia" w:ascii="仿宋_GB2312" w:hAnsi="仿宋_GB2312" w:eastAsia="仿宋_GB2312" w:cs="仿宋_GB2312"/>
                <w:sz w:val="22"/>
                <w:szCs w:val="22"/>
                <w:lang w:val="en-US" w:eastAsia="zh-CN"/>
              </w:rPr>
              <w:t>及</w:t>
            </w:r>
            <w:r>
              <w:rPr>
                <w:rFonts w:hint="eastAsia" w:ascii="仿宋_GB2312" w:hAnsi="仿宋_GB2312" w:eastAsia="仿宋_GB2312" w:cs="仿宋_GB2312"/>
                <w:sz w:val="22"/>
                <w:szCs w:val="22"/>
              </w:rPr>
              <w:t>网络安全培训类）</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得</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分；</w:t>
            </w:r>
          </w:p>
          <w:p w14:paraId="101B6365">
            <w:pPr>
              <w:numPr>
                <w:ilvl w:val="0"/>
                <w:numId w:val="9"/>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具有工业信息安全测试评估机构证书，得</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分；</w:t>
            </w:r>
          </w:p>
          <w:p w14:paraId="4AAEA173">
            <w:pPr>
              <w:numPr>
                <w:ilvl w:val="0"/>
                <w:numId w:val="9"/>
              </w:numPr>
              <w:spacing w:line="360" w:lineRule="exact"/>
              <w:ind w:left="0" w:leftChars="0" w:firstLine="0" w:firstLineChars="0"/>
              <w:rPr>
                <w:rFonts w:hint="eastAsia"/>
              </w:rPr>
            </w:pPr>
            <w:r>
              <w:rPr>
                <w:rFonts w:hint="eastAsia" w:ascii="仿宋_GB2312" w:hAnsi="仿宋_GB2312" w:eastAsia="仿宋_GB2312" w:cs="仿宋_GB2312"/>
                <w:sz w:val="22"/>
                <w:szCs w:val="22"/>
              </w:rPr>
              <w:t>具备有效的知识产权管理体系认证证书（认证范围包括等保测评T29490-2013）得</w:t>
            </w:r>
            <w:r>
              <w:rPr>
                <w:rFonts w:hint="eastAsia" w:ascii="仿宋_GB2312" w:hAnsi="仿宋_GB2312" w:eastAsia="仿宋_GB2312" w:cs="仿宋_GB2312"/>
                <w:sz w:val="22"/>
                <w:szCs w:val="22"/>
                <w:lang w:val="en-US" w:eastAsia="zh-CN"/>
              </w:rPr>
              <w:t>5</w:t>
            </w:r>
            <w:r>
              <w:rPr>
                <w:rFonts w:hint="eastAsia" w:ascii="仿宋_GB2312" w:hAnsi="仿宋_GB2312" w:eastAsia="仿宋_GB2312" w:cs="仿宋_GB2312"/>
                <w:sz w:val="22"/>
                <w:szCs w:val="22"/>
              </w:rPr>
              <w:t>分；</w:t>
            </w:r>
          </w:p>
        </w:tc>
      </w:tr>
      <w:tr w14:paraId="209BDCB0">
        <w:tblPrEx>
          <w:tblCellMar>
            <w:top w:w="0" w:type="dxa"/>
            <w:left w:w="108" w:type="dxa"/>
            <w:bottom w:w="0" w:type="dxa"/>
            <w:right w:w="108" w:type="dxa"/>
          </w:tblCellMar>
        </w:tblPrEx>
        <w:trPr>
          <w:trHeight w:val="864"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5F2C1E87">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4</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6D35F1E4">
            <w:pPr>
              <w:keepNext w:val="0"/>
              <w:keepLines w:val="0"/>
              <w:pageBreakBefore w:val="0"/>
              <w:kinsoku/>
              <w:overflowPunct/>
              <w:topLinePunct w:val="0"/>
              <w:autoSpaceDE/>
              <w:autoSpaceDN/>
              <w:bidi w:val="0"/>
              <w:adjustRightInd/>
              <w:snapToGrid/>
              <w:spacing w:after="200" w:line="360" w:lineRule="auto"/>
              <w:jc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服务保障</w:t>
            </w:r>
          </w:p>
        </w:tc>
        <w:tc>
          <w:tcPr>
            <w:tcW w:w="1030" w:type="dxa"/>
            <w:tcBorders>
              <w:top w:val="single" w:color="000000" w:sz="4" w:space="0"/>
              <w:left w:val="single" w:color="000000" w:sz="4" w:space="0"/>
              <w:bottom w:val="single" w:color="000000" w:sz="4" w:space="0"/>
              <w:right w:val="single" w:color="000000" w:sz="4" w:space="0"/>
            </w:tcBorders>
            <w:noWrap/>
            <w:vAlign w:val="center"/>
          </w:tcPr>
          <w:p w14:paraId="6BCFC4CC">
            <w:pPr>
              <w:keepNext w:val="0"/>
              <w:keepLines w:val="0"/>
              <w:pageBreakBefore w:val="0"/>
              <w:kinsoku/>
              <w:overflowPunct/>
              <w:topLinePunct w:val="0"/>
              <w:autoSpaceDE/>
              <w:autoSpaceDN/>
              <w:bidi w:val="0"/>
              <w:adjustRightInd/>
              <w:snapToGrid/>
              <w:spacing w:after="200" w:line="360" w:lineRule="auto"/>
              <w:jc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20</w:t>
            </w:r>
          </w:p>
        </w:tc>
        <w:tc>
          <w:tcPr>
            <w:tcW w:w="5332" w:type="dxa"/>
            <w:tcBorders>
              <w:top w:val="single" w:color="000000" w:sz="4" w:space="0"/>
              <w:left w:val="single" w:color="000000" w:sz="4" w:space="0"/>
              <w:bottom w:val="single" w:color="000000" w:sz="4" w:space="0"/>
              <w:right w:val="single" w:color="000000" w:sz="4" w:space="0"/>
            </w:tcBorders>
            <w:noWrap/>
            <w:vAlign w:val="top"/>
          </w:tcPr>
          <w:p w14:paraId="7A47BEB7">
            <w:pPr>
              <w:numPr>
                <w:ilvl w:val="0"/>
                <w:numId w:val="10"/>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项目经理</w:t>
            </w:r>
          </w:p>
          <w:p w14:paraId="5D687940">
            <w:pPr>
              <w:numPr>
                <w:ilvl w:val="1"/>
                <w:numId w:val="11"/>
              </w:numPr>
              <w:spacing w:line="360" w:lineRule="exact"/>
              <w:ind w:left="0" w:leftChars="0" w:firstLine="418" w:firstLineChars="190"/>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项目经理具备高级等保测评师</w:t>
            </w:r>
            <w:r>
              <w:rPr>
                <w:rFonts w:hint="eastAsia" w:ascii="仿宋_GB2312" w:hAnsi="仿宋_GB2312" w:eastAsia="仿宋_GB2312" w:cs="仿宋_GB2312"/>
                <w:sz w:val="22"/>
                <w:szCs w:val="22"/>
                <w:lang w:val="en-US" w:eastAsia="zh-CN"/>
              </w:rPr>
              <w:t>证书</w:t>
            </w:r>
            <w:r>
              <w:rPr>
                <w:rFonts w:hint="eastAsia" w:ascii="仿宋_GB2312" w:hAnsi="仿宋_GB2312" w:eastAsia="仿宋_GB2312" w:cs="仿宋_GB2312"/>
                <w:sz w:val="22"/>
                <w:szCs w:val="22"/>
              </w:rPr>
              <w:t>，得</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分</w:t>
            </w:r>
            <w:r>
              <w:rPr>
                <w:rFonts w:hint="eastAsia" w:ascii="仿宋_GB2312" w:hAnsi="仿宋_GB2312" w:eastAsia="仿宋_GB2312" w:cs="仿宋_GB2312"/>
                <w:sz w:val="22"/>
                <w:szCs w:val="22"/>
                <w:lang w:eastAsia="zh-CN"/>
              </w:rPr>
              <w:t>；</w:t>
            </w:r>
          </w:p>
          <w:p w14:paraId="57E11E4E">
            <w:pPr>
              <w:numPr>
                <w:ilvl w:val="1"/>
                <w:numId w:val="11"/>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具备注册信息安全专业人员(CISP)证书</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国家重要信息系统保护人员</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注册网络安全测评专业人员(NSATP)证书</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缺一不可</w:t>
            </w:r>
            <w:r>
              <w:rPr>
                <w:rFonts w:hint="eastAsia" w:ascii="仿宋_GB2312" w:hAnsi="仿宋_GB2312" w:eastAsia="仿宋_GB2312" w:cs="仿宋_GB2312"/>
                <w:sz w:val="22"/>
                <w:szCs w:val="22"/>
              </w:rPr>
              <w:t>，得</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分</w:t>
            </w:r>
            <w:r>
              <w:rPr>
                <w:rFonts w:hint="eastAsia" w:ascii="仿宋_GB2312" w:hAnsi="仿宋_GB2312" w:eastAsia="仿宋_GB2312" w:cs="仿宋_GB2312"/>
                <w:sz w:val="22"/>
                <w:szCs w:val="22"/>
                <w:lang w:eastAsia="zh-CN"/>
              </w:rPr>
              <w:t>；</w:t>
            </w:r>
          </w:p>
          <w:p w14:paraId="1F81CA1C">
            <w:pPr>
              <w:numPr>
                <w:ilvl w:val="0"/>
                <w:numId w:val="10"/>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项目成员(不含项目经理)</w:t>
            </w:r>
          </w:p>
          <w:p w14:paraId="76273515">
            <w:pPr>
              <w:numPr>
                <w:ilvl w:val="1"/>
                <w:numId w:val="12"/>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项目成员具有1名</w:t>
            </w:r>
            <w:r>
              <w:rPr>
                <w:rFonts w:hint="eastAsia" w:ascii="仿宋_GB2312" w:hAnsi="仿宋_GB2312" w:eastAsia="仿宋_GB2312" w:cs="仿宋_GB2312"/>
                <w:sz w:val="22"/>
                <w:szCs w:val="22"/>
                <w:lang w:val="en-US" w:eastAsia="zh-CN"/>
              </w:rPr>
              <w:t>及以上</w:t>
            </w:r>
            <w:r>
              <w:rPr>
                <w:rFonts w:hint="eastAsia" w:ascii="仿宋_GB2312" w:hAnsi="仿宋_GB2312" w:eastAsia="仿宋_GB2312" w:cs="仿宋_GB2312"/>
                <w:sz w:val="22"/>
                <w:szCs w:val="22"/>
              </w:rPr>
              <w:t>高级测评师，得</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分；具有</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名</w:t>
            </w:r>
            <w:r>
              <w:rPr>
                <w:rFonts w:hint="eastAsia" w:ascii="仿宋_GB2312" w:hAnsi="仿宋_GB2312" w:eastAsia="仿宋_GB2312" w:cs="仿宋_GB2312"/>
                <w:sz w:val="22"/>
                <w:szCs w:val="22"/>
                <w:lang w:val="en-US" w:eastAsia="zh-CN"/>
              </w:rPr>
              <w:t>及以上</w:t>
            </w:r>
            <w:r>
              <w:rPr>
                <w:rFonts w:hint="eastAsia" w:ascii="仿宋_GB2312" w:hAnsi="仿宋_GB2312" w:eastAsia="仿宋_GB2312" w:cs="仿宋_GB2312"/>
                <w:sz w:val="22"/>
                <w:szCs w:val="22"/>
              </w:rPr>
              <w:t>中级测评师，得</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分；具有</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名</w:t>
            </w:r>
            <w:r>
              <w:rPr>
                <w:rFonts w:hint="eastAsia" w:ascii="仿宋_GB2312" w:hAnsi="仿宋_GB2312" w:eastAsia="仿宋_GB2312" w:cs="仿宋_GB2312"/>
                <w:sz w:val="22"/>
                <w:szCs w:val="22"/>
                <w:lang w:val="en-US" w:eastAsia="zh-CN"/>
              </w:rPr>
              <w:t>及以上</w:t>
            </w:r>
            <w:r>
              <w:rPr>
                <w:rFonts w:hint="eastAsia" w:ascii="仿宋_GB2312" w:hAnsi="仿宋_GB2312" w:eastAsia="仿宋_GB2312" w:cs="仿宋_GB2312"/>
                <w:sz w:val="22"/>
                <w:szCs w:val="22"/>
              </w:rPr>
              <w:t>初级测评师，得</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分</w:t>
            </w:r>
            <w:r>
              <w:rPr>
                <w:rFonts w:hint="eastAsia" w:ascii="仿宋_GB2312" w:hAnsi="仿宋_GB2312" w:eastAsia="仿宋_GB2312" w:cs="仿宋_GB2312"/>
                <w:sz w:val="22"/>
                <w:szCs w:val="22"/>
                <w:lang w:eastAsia="zh-CN"/>
              </w:rPr>
              <w:t>；</w:t>
            </w:r>
          </w:p>
          <w:p w14:paraId="19320B25">
            <w:pPr>
              <w:numPr>
                <w:ilvl w:val="1"/>
                <w:numId w:val="12"/>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项目成员具有</w:t>
            </w:r>
            <w:r>
              <w:rPr>
                <w:rFonts w:hint="eastAsia" w:ascii="仿宋_GB2312" w:hAnsi="仿宋_GB2312" w:eastAsia="仿宋_GB2312" w:cs="仿宋_GB2312"/>
                <w:sz w:val="22"/>
                <w:szCs w:val="22"/>
                <w:lang w:val="en-US" w:eastAsia="zh-CN"/>
              </w:rPr>
              <w:t>1名及以上</w:t>
            </w:r>
            <w:r>
              <w:rPr>
                <w:rFonts w:hint="eastAsia" w:ascii="仿宋_GB2312" w:hAnsi="仿宋_GB2312" w:eastAsia="仿宋_GB2312" w:cs="仿宋_GB2312"/>
                <w:sz w:val="22"/>
                <w:szCs w:val="22"/>
              </w:rPr>
              <w:t>注册网络安全渗透评估专业人员（NSATP-A），得</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分</w:t>
            </w:r>
            <w:r>
              <w:rPr>
                <w:rFonts w:hint="eastAsia" w:ascii="仿宋_GB2312" w:hAnsi="仿宋_GB2312" w:eastAsia="仿宋_GB2312" w:cs="仿宋_GB2312"/>
                <w:sz w:val="22"/>
                <w:szCs w:val="22"/>
                <w:lang w:eastAsia="zh-CN"/>
              </w:rPr>
              <w:t>；</w:t>
            </w:r>
          </w:p>
          <w:p w14:paraId="10D5C6C7">
            <w:pPr>
              <w:numPr>
                <w:ilvl w:val="1"/>
                <w:numId w:val="12"/>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w:t>
            </w:r>
            <w:r>
              <w:rPr>
                <w:rFonts w:hint="eastAsia" w:ascii="仿宋_GB2312" w:hAnsi="仿宋_GB2312" w:eastAsia="仿宋_GB2312" w:cs="仿宋_GB2312"/>
                <w:sz w:val="22"/>
                <w:szCs w:val="22"/>
                <w:lang w:val="en-US" w:eastAsia="zh-CN"/>
              </w:rPr>
              <w:t>成员</w:t>
            </w:r>
            <w:r>
              <w:rPr>
                <w:rFonts w:hint="eastAsia" w:ascii="仿宋_GB2312" w:hAnsi="仿宋_GB2312" w:eastAsia="仿宋_GB2312" w:cs="仿宋_GB2312"/>
                <w:sz w:val="22"/>
                <w:szCs w:val="22"/>
              </w:rPr>
              <w:t>具有</w:t>
            </w:r>
            <w:r>
              <w:rPr>
                <w:rFonts w:hint="eastAsia" w:ascii="仿宋_GB2312" w:hAnsi="仿宋_GB2312" w:eastAsia="仿宋_GB2312" w:cs="仿宋_GB2312"/>
                <w:sz w:val="22"/>
                <w:szCs w:val="22"/>
                <w:lang w:val="en-US" w:eastAsia="zh-CN"/>
              </w:rPr>
              <w:t>1名及以上</w:t>
            </w:r>
            <w:r>
              <w:rPr>
                <w:rFonts w:hint="eastAsia" w:ascii="仿宋_GB2312" w:hAnsi="仿宋_GB2312" w:eastAsia="仿宋_GB2312" w:cs="仿宋_GB2312"/>
                <w:sz w:val="22"/>
                <w:szCs w:val="22"/>
              </w:rPr>
              <w:t>注册网络安全专业防御人员（NSATP-D），得</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分</w:t>
            </w:r>
            <w:r>
              <w:rPr>
                <w:rFonts w:hint="eastAsia" w:ascii="仿宋_GB2312" w:hAnsi="仿宋_GB2312" w:eastAsia="仿宋_GB2312" w:cs="仿宋_GB2312"/>
                <w:sz w:val="22"/>
                <w:szCs w:val="22"/>
                <w:lang w:eastAsia="zh-CN"/>
              </w:rPr>
              <w:t>。</w:t>
            </w:r>
          </w:p>
          <w:p w14:paraId="65B72EE7">
            <w:pPr>
              <w:numPr>
                <w:ilvl w:val="0"/>
                <w:numId w:val="0"/>
              </w:numPr>
              <w:spacing w:line="360" w:lineRule="exact"/>
              <w:ind w:leftChars="190"/>
              <w:rPr>
                <w:rFonts w:hint="eastAsia" w:ascii="宋体" w:hAnsi="宋体" w:eastAsia="宋体" w:cs="宋体"/>
                <w:color w:val="000000"/>
                <w:sz w:val="24"/>
                <w:szCs w:val="24"/>
              </w:rPr>
            </w:pP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以上人员不能重复</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须提供资质证明、职称证书以及供应商所在地社保机构出具的由供应商为以上人员缴纳的社保证明，社保证明需加盖社保机构公章，否则不予计分。</w:t>
            </w:r>
            <w:r>
              <w:rPr>
                <w:rFonts w:hint="eastAsia" w:ascii="仿宋_GB2312" w:hAnsi="仿宋_GB2312" w:eastAsia="仿宋_GB2312" w:cs="仿宋_GB2312"/>
                <w:sz w:val="22"/>
                <w:szCs w:val="22"/>
                <w:lang w:eastAsia="zh-CN"/>
              </w:rPr>
              <w:t>）</w:t>
            </w:r>
          </w:p>
        </w:tc>
      </w:tr>
    </w:tbl>
    <w:p w14:paraId="63BF3E16">
      <w:pPr>
        <w:pStyle w:val="5"/>
        <w:ind w:left="0" w:leftChars="0" w:firstLine="0" w:firstLineChars="0"/>
      </w:pPr>
    </w:p>
    <w:p w14:paraId="2D90C918"/>
    <w:p w14:paraId="09109614"/>
    <w:p w14:paraId="30500BED">
      <w:pPr>
        <w:pStyle w:val="11"/>
        <w:spacing w:before="0" w:beforeAutospacing="0" w:after="0" w:afterAutospacing="0" w:line="420" w:lineRule="exact"/>
        <w:rPr>
          <w:rFonts w:hint="eastAsia" w:cs="Times New Roman"/>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6E7B2"/>
    <w:multiLevelType w:val="multilevel"/>
    <w:tmpl w:val="8D06E7B2"/>
    <w:lvl w:ilvl="0" w:tentative="0">
      <w:start w:val="1"/>
      <w:numFmt w:val="decimal"/>
      <w:suff w:val="nothing"/>
      <w:lvlText w:val="%1、"/>
      <w:lvlJc w:val="left"/>
      <w:pPr>
        <w:ind w:left="0" w:firstLine="403"/>
      </w:pPr>
      <w:rPr>
        <w:rFonts w:hint="default"/>
      </w:rPr>
    </w:lvl>
    <w:lvl w:ilvl="1" w:tentative="0">
      <w:start w:val="1"/>
      <w:numFmt w:val="decimal"/>
      <w:lvlText w:val="(%2)"/>
      <w:lvlJc w:val="left"/>
      <w:pPr>
        <w:tabs>
          <w:tab w:val="left" w:pos="840"/>
        </w:tabs>
        <w:ind w:left="1243" w:hanging="420"/>
      </w:pPr>
      <w:rPr>
        <w:rFonts w:hint="default"/>
      </w:rPr>
    </w:lvl>
    <w:lvl w:ilvl="2" w:tentative="0">
      <w:start w:val="1"/>
      <w:numFmt w:val="decimalEnclosedCircleChinese"/>
      <w:lvlText w:val="%3"/>
      <w:lvlJc w:val="left"/>
      <w:pPr>
        <w:tabs>
          <w:tab w:val="left" w:pos="1260"/>
        </w:tabs>
        <w:ind w:left="1663" w:hanging="420"/>
      </w:pPr>
      <w:rPr>
        <w:rFonts w:hint="default"/>
      </w:rPr>
    </w:lvl>
    <w:lvl w:ilvl="3" w:tentative="0">
      <w:start w:val="1"/>
      <w:numFmt w:val="decimal"/>
      <w:lvlText w:val="%4)"/>
      <w:lvlJc w:val="left"/>
      <w:pPr>
        <w:tabs>
          <w:tab w:val="left" w:pos="1680"/>
        </w:tabs>
        <w:ind w:left="2083" w:hanging="420"/>
      </w:pPr>
      <w:rPr>
        <w:rFonts w:hint="default"/>
      </w:rPr>
    </w:lvl>
    <w:lvl w:ilvl="4" w:tentative="0">
      <w:start w:val="1"/>
      <w:numFmt w:val="lowerLetter"/>
      <w:lvlText w:val="%5."/>
      <w:lvlJc w:val="left"/>
      <w:pPr>
        <w:tabs>
          <w:tab w:val="left" w:pos="2100"/>
        </w:tabs>
        <w:ind w:left="2503" w:hanging="420"/>
      </w:pPr>
      <w:rPr>
        <w:rFonts w:hint="default"/>
      </w:rPr>
    </w:lvl>
    <w:lvl w:ilvl="5" w:tentative="0">
      <w:start w:val="1"/>
      <w:numFmt w:val="lowerLetter"/>
      <w:lvlText w:val="%6)"/>
      <w:lvlJc w:val="left"/>
      <w:pPr>
        <w:tabs>
          <w:tab w:val="left" w:pos="2520"/>
        </w:tabs>
        <w:ind w:left="2923" w:hanging="420"/>
      </w:pPr>
      <w:rPr>
        <w:rFonts w:hint="default"/>
      </w:rPr>
    </w:lvl>
    <w:lvl w:ilvl="6" w:tentative="0">
      <w:start w:val="1"/>
      <w:numFmt w:val="lowerRoman"/>
      <w:lvlText w:val="%7."/>
      <w:lvlJc w:val="left"/>
      <w:pPr>
        <w:tabs>
          <w:tab w:val="left" w:pos="2940"/>
        </w:tabs>
        <w:ind w:left="3343" w:hanging="420"/>
      </w:pPr>
      <w:rPr>
        <w:rFonts w:hint="default"/>
      </w:rPr>
    </w:lvl>
    <w:lvl w:ilvl="7" w:tentative="0">
      <w:start w:val="1"/>
      <w:numFmt w:val="lowerRoman"/>
      <w:lvlText w:val="%8)"/>
      <w:lvlJc w:val="left"/>
      <w:pPr>
        <w:tabs>
          <w:tab w:val="left" w:pos="3360"/>
        </w:tabs>
        <w:ind w:left="3763" w:hanging="420"/>
      </w:pPr>
      <w:rPr>
        <w:rFonts w:hint="default"/>
      </w:rPr>
    </w:lvl>
    <w:lvl w:ilvl="8" w:tentative="0">
      <w:start w:val="1"/>
      <w:numFmt w:val="lowerLetter"/>
      <w:lvlText w:val="%9."/>
      <w:lvlJc w:val="left"/>
      <w:pPr>
        <w:tabs>
          <w:tab w:val="left" w:pos="3780"/>
        </w:tabs>
        <w:ind w:left="4183" w:hanging="420"/>
      </w:pPr>
      <w:rPr>
        <w:rFonts w:hint="default"/>
      </w:rPr>
    </w:lvl>
  </w:abstractNum>
  <w:abstractNum w:abstractNumId="1">
    <w:nsid w:val="B44C193E"/>
    <w:multiLevelType w:val="multilevel"/>
    <w:tmpl w:val="B44C193E"/>
    <w:lvl w:ilvl="0" w:tentative="0">
      <w:start w:val="1"/>
      <w:numFmt w:val="decimal"/>
      <w:suff w:val="nothing"/>
      <w:lvlText w:val="%1、"/>
      <w:lvlJc w:val="left"/>
      <w:pPr>
        <w:ind w:left="0" w:firstLine="403"/>
      </w:pPr>
      <w:rPr>
        <w:rFonts w:hint="default"/>
      </w:rPr>
    </w:lvl>
    <w:lvl w:ilvl="1" w:tentative="0">
      <w:start w:val="1"/>
      <w:numFmt w:val="decimal"/>
      <w:lvlText w:val="(%2)"/>
      <w:lvlJc w:val="left"/>
      <w:pPr>
        <w:tabs>
          <w:tab w:val="left" w:pos="840"/>
        </w:tabs>
        <w:ind w:left="1243" w:hanging="420"/>
      </w:pPr>
      <w:rPr>
        <w:rFonts w:hint="default"/>
      </w:rPr>
    </w:lvl>
    <w:lvl w:ilvl="2" w:tentative="0">
      <w:start w:val="1"/>
      <w:numFmt w:val="decimalEnclosedCircleChinese"/>
      <w:lvlText w:val="%3"/>
      <w:lvlJc w:val="left"/>
      <w:pPr>
        <w:tabs>
          <w:tab w:val="left" w:pos="1260"/>
        </w:tabs>
        <w:ind w:left="1663" w:hanging="420"/>
      </w:pPr>
      <w:rPr>
        <w:rFonts w:hint="default"/>
      </w:rPr>
    </w:lvl>
    <w:lvl w:ilvl="3" w:tentative="0">
      <w:start w:val="1"/>
      <w:numFmt w:val="decimal"/>
      <w:lvlText w:val="%4)"/>
      <w:lvlJc w:val="left"/>
      <w:pPr>
        <w:tabs>
          <w:tab w:val="left" w:pos="1680"/>
        </w:tabs>
        <w:ind w:left="2083" w:hanging="420"/>
      </w:pPr>
      <w:rPr>
        <w:rFonts w:hint="default"/>
      </w:rPr>
    </w:lvl>
    <w:lvl w:ilvl="4" w:tentative="0">
      <w:start w:val="1"/>
      <w:numFmt w:val="lowerLetter"/>
      <w:lvlText w:val="%5."/>
      <w:lvlJc w:val="left"/>
      <w:pPr>
        <w:tabs>
          <w:tab w:val="left" w:pos="2100"/>
        </w:tabs>
        <w:ind w:left="2503" w:hanging="420"/>
      </w:pPr>
      <w:rPr>
        <w:rFonts w:hint="default"/>
      </w:rPr>
    </w:lvl>
    <w:lvl w:ilvl="5" w:tentative="0">
      <w:start w:val="1"/>
      <w:numFmt w:val="lowerLetter"/>
      <w:lvlText w:val="%6)"/>
      <w:lvlJc w:val="left"/>
      <w:pPr>
        <w:tabs>
          <w:tab w:val="left" w:pos="2520"/>
        </w:tabs>
        <w:ind w:left="2923" w:hanging="420"/>
      </w:pPr>
      <w:rPr>
        <w:rFonts w:hint="default"/>
      </w:rPr>
    </w:lvl>
    <w:lvl w:ilvl="6" w:tentative="0">
      <w:start w:val="1"/>
      <w:numFmt w:val="lowerRoman"/>
      <w:lvlText w:val="%7."/>
      <w:lvlJc w:val="left"/>
      <w:pPr>
        <w:tabs>
          <w:tab w:val="left" w:pos="2940"/>
        </w:tabs>
        <w:ind w:left="3343" w:hanging="420"/>
      </w:pPr>
      <w:rPr>
        <w:rFonts w:hint="default"/>
      </w:rPr>
    </w:lvl>
    <w:lvl w:ilvl="7" w:tentative="0">
      <w:start w:val="1"/>
      <w:numFmt w:val="lowerRoman"/>
      <w:lvlText w:val="%8)"/>
      <w:lvlJc w:val="left"/>
      <w:pPr>
        <w:tabs>
          <w:tab w:val="left" w:pos="3360"/>
        </w:tabs>
        <w:ind w:left="3763" w:hanging="420"/>
      </w:pPr>
      <w:rPr>
        <w:rFonts w:hint="default"/>
      </w:rPr>
    </w:lvl>
    <w:lvl w:ilvl="8" w:tentative="0">
      <w:start w:val="1"/>
      <w:numFmt w:val="lowerLetter"/>
      <w:lvlText w:val="%9."/>
      <w:lvlJc w:val="left"/>
      <w:pPr>
        <w:tabs>
          <w:tab w:val="left" w:pos="3780"/>
        </w:tabs>
        <w:ind w:left="4183" w:hanging="420"/>
      </w:pPr>
      <w:rPr>
        <w:rFonts w:hint="default"/>
      </w:rPr>
    </w:lvl>
  </w:abstractNum>
  <w:abstractNum w:abstractNumId="2">
    <w:nsid w:val="C55DFF13"/>
    <w:multiLevelType w:val="singleLevel"/>
    <w:tmpl w:val="C55DFF13"/>
    <w:lvl w:ilvl="0" w:tentative="0">
      <w:start w:val="1"/>
      <w:numFmt w:val="decimal"/>
      <w:lvlText w:val="%1、"/>
      <w:lvlJc w:val="left"/>
      <w:pPr>
        <w:tabs>
          <w:tab w:val="left" w:pos="420"/>
        </w:tabs>
        <w:ind w:left="425" w:hanging="425"/>
      </w:pPr>
      <w:rPr>
        <w:rFonts w:hint="default"/>
      </w:rPr>
    </w:lvl>
  </w:abstractNum>
  <w:abstractNum w:abstractNumId="3">
    <w:nsid w:val="FC5763DB"/>
    <w:multiLevelType w:val="singleLevel"/>
    <w:tmpl w:val="FC5763DB"/>
    <w:lvl w:ilvl="0" w:tentative="0">
      <w:start w:val="1"/>
      <w:numFmt w:val="decimal"/>
      <w:lvlText w:val="%1、"/>
      <w:lvlJc w:val="left"/>
      <w:pPr>
        <w:tabs>
          <w:tab w:val="left" w:pos="420"/>
        </w:tabs>
        <w:ind w:left="425" w:hanging="425"/>
      </w:pPr>
      <w:rPr>
        <w:rFonts w:hint="default"/>
      </w:rPr>
    </w:lvl>
  </w:abstractNum>
  <w:abstractNum w:abstractNumId="4">
    <w:nsid w:val="030A5D40"/>
    <w:multiLevelType w:val="singleLevel"/>
    <w:tmpl w:val="030A5D40"/>
    <w:lvl w:ilvl="0" w:tentative="0">
      <w:start w:val="1"/>
      <w:numFmt w:val="decimal"/>
      <w:lvlText w:val="%1、"/>
      <w:lvlJc w:val="left"/>
      <w:pPr>
        <w:tabs>
          <w:tab w:val="left" w:pos="420"/>
        </w:tabs>
        <w:ind w:left="425" w:hanging="425"/>
      </w:pPr>
      <w:rPr>
        <w:rFonts w:hint="default"/>
      </w:rPr>
    </w:lvl>
  </w:abstractNum>
  <w:abstractNum w:abstractNumId="5">
    <w:nsid w:val="05CBF4DD"/>
    <w:multiLevelType w:val="singleLevel"/>
    <w:tmpl w:val="05CBF4DD"/>
    <w:lvl w:ilvl="0" w:tentative="0">
      <w:start w:val="1"/>
      <w:numFmt w:val="decimal"/>
      <w:lvlText w:val="%1、"/>
      <w:lvlJc w:val="left"/>
      <w:pPr>
        <w:tabs>
          <w:tab w:val="left" w:pos="420"/>
        </w:tabs>
        <w:ind w:left="425" w:hanging="425"/>
      </w:pPr>
      <w:rPr>
        <w:rFonts w:hint="default"/>
      </w:rPr>
    </w:lvl>
  </w:abstractNum>
  <w:abstractNum w:abstractNumId="6">
    <w:nsid w:val="0CE34464"/>
    <w:multiLevelType w:val="multilevel"/>
    <w:tmpl w:val="0CE34464"/>
    <w:lvl w:ilvl="0" w:tentative="0">
      <w:start w:val="1"/>
      <w:numFmt w:val="decimal"/>
      <w:suff w:val="nothing"/>
      <w:lvlText w:val="%1、"/>
      <w:lvlJc w:val="left"/>
      <w:pPr>
        <w:ind w:left="0" w:firstLine="403"/>
      </w:pPr>
      <w:rPr>
        <w:rFonts w:hint="default"/>
      </w:rPr>
    </w:lvl>
    <w:lvl w:ilvl="1" w:tentative="0">
      <w:start w:val="1"/>
      <w:numFmt w:val="decimal"/>
      <w:lvlText w:val="(%2)"/>
      <w:lvlJc w:val="left"/>
      <w:pPr>
        <w:tabs>
          <w:tab w:val="left" w:pos="840"/>
        </w:tabs>
        <w:ind w:left="1243" w:hanging="420"/>
      </w:pPr>
      <w:rPr>
        <w:rFonts w:hint="default"/>
      </w:rPr>
    </w:lvl>
    <w:lvl w:ilvl="2" w:tentative="0">
      <w:start w:val="1"/>
      <w:numFmt w:val="decimalEnclosedCircleChinese"/>
      <w:lvlText w:val="%3"/>
      <w:lvlJc w:val="left"/>
      <w:pPr>
        <w:tabs>
          <w:tab w:val="left" w:pos="1260"/>
        </w:tabs>
        <w:ind w:left="1663" w:hanging="420"/>
      </w:pPr>
      <w:rPr>
        <w:rFonts w:hint="default"/>
      </w:rPr>
    </w:lvl>
    <w:lvl w:ilvl="3" w:tentative="0">
      <w:start w:val="1"/>
      <w:numFmt w:val="decimal"/>
      <w:lvlText w:val="%4)"/>
      <w:lvlJc w:val="left"/>
      <w:pPr>
        <w:tabs>
          <w:tab w:val="left" w:pos="1680"/>
        </w:tabs>
        <w:ind w:left="2083" w:hanging="420"/>
      </w:pPr>
      <w:rPr>
        <w:rFonts w:hint="default"/>
      </w:rPr>
    </w:lvl>
    <w:lvl w:ilvl="4" w:tentative="0">
      <w:start w:val="1"/>
      <w:numFmt w:val="lowerLetter"/>
      <w:lvlText w:val="%5."/>
      <w:lvlJc w:val="left"/>
      <w:pPr>
        <w:tabs>
          <w:tab w:val="left" w:pos="2100"/>
        </w:tabs>
        <w:ind w:left="2503" w:hanging="420"/>
      </w:pPr>
      <w:rPr>
        <w:rFonts w:hint="default"/>
      </w:rPr>
    </w:lvl>
    <w:lvl w:ilvl="5" w:tentative="0">
      <w:start w:val="1"/>
      <w:numFmt w:val="lowerLetter"/>
      <w:lvlText w:val="%6)"/>
      <w:lvlJc w:val="left"/>
      <w:pPr>
        <w:tabs>
          <w:tab w:val="left" w:pos="2520"/>
        </w:tabs>
        <w:ind w:left="2923" w:hanging="420"/>
      </w:pPr>
      <w:rPr>
        <w:rFonts w:hint="default"/>
      </w:rPr>
    </w:lvl>
    <w:lvl w:ilvl="6" w:tentative="0">
      <w:start w:val="1"/>
      <w:numFmt w:val="lowerRoman"/>
      <w:lvlText w:val="%7."/>
      <w:lvlJc w:val="left"/>
      <w:pPr>
        <w:tabs>
          <w:tab w:val="left" w:pos="2940"/>
        </w:tabs>
        <w:ind w:left="3343" w:hanging="420"/>
      </w:pPr>
      <w:rPr>
        <w:rFonts w:hint="default"/>
      </w:rPr>
    </w:lvl>
    <w:lvl w:ilvl="7" w:tentative="0">
      <w:start w:val="1"/>
      <w:numFmt w:val="lowerRoman"/>
      <w:lvlText w:val="%8)"/>
      <w:lvlJc w:val="left"/>
      <w:pPr>
        <w:tabs>
          <w:tab w:val="left" w:pos="3360"/>
        </w:tabs>
        <w:ind w:left="3763" w:hanging="420"/>
      </w:pPr>
      <w:rPr>
        <w:rFonts w:hint="default"/>
      </w:rPr>
    </w:lvl>
    <w:lvl w:ilvl="8" w:tentative="0">
      <w:start w:val="1"/>
      <w:numFmt w:val="lowerLetter"/>
      <w:lvlText w:val="%9."/>
      <w:lvlJc w:val="left"/>
      <w:pPr>
        <w:tabs>
          <w:tab w:val="left" w:pos="3780"/>
        </w:tabs>
        <w:ind w:left="4183" w:hanging="420"/>
      </w:pPr>
      <w:rPr>
        <w:rFonts w:hint="default"/>
      </w:rPr>
    </w:lvl>
  </w:abstractNum>
  <w:abstractNum w:abstractNumId="7">
    <w:nsid w:val="1670B19C"/>
    <w:multiLevelType w:val="multilevel"/>
    <w:tmpl w:val="1670B19C"/>
    <w:lvl w:ilvl="0" w:tentative="0">
      <w:start w:val="1"/>
      <w:numFmt w:val="decimal"/>
      <w:suff w:val="nothing"/>
      <w:lvlText w:val="%1、"/>
      <w:lvlJc w:val="left"/>
      <w:pPr>
        <w:ind w:left="0" w:firstLine="403"/>
      </w:pPr>
      <w:rPr>
        <w:rFonts w:hint="default"/>
      </w:rPr>
    </w:lvl>
    <w:lvl w:ilvl="1" w:tentative="0">
      <w:start w:val="1"/>
      <w:numFmt w:val="decimal"/>
      <w:lvlText w:val="(%2)"/>
      <w:lvlJc w:val="left"/>
      <w:pPr>
        <w:tabs>
          <w:tab w:val="left" w:pos="840"/>
        </w:tabs>
        <w:ind w:left="1243" w:hanging="420"/>
      </w:pPr>
      <w:rPr>
        <w:rFonts w:hint="default"/>
      </w:rPr>
    </w:lvl>
    <w:lvl w:ilvl="2" w:tentative="0">
      <w:start w:val="1"/>
      <w:numFmt w:val="decimalEnclosedCircleChinese"/>
      <w:lvlText w:val="%3"/>
      <w:lvlJc w:val="left"/>
      <w:pPr>
        <w:tabs>
          <w:tab w:val="left" w:pos="1260"/>
        </w:tabs>
        <w:ind w:left="1663" w:hanging="420"/>
      </w:pPr>
      <w:rPr>
        <w:rFonts w:hint="default"/>
      </w:rPr>
    </w:lvl>
    <w:lvl w:ilvl="3" w:tentative="0">
      <w:start w:val="1"/>
      <w:numFmt w:val="decimal"/>
      <w:lvlText w:val="%4)"/>
      <w:lvlJc w:val="left"/>
      <w:pPr>
        <w:tabs>
          <w:tab w:val="left" w:pos="1680"/>
        </w:tabs>
        <w:ind w:left="2083" w:hanging="420"/>
      </w:pPr>
      <w:rPr>
        <w:rFonts w:hint="default"/>
      </w:rPr>
    </w:lvl>
    <w:lvl w:ilvl="4" w:tentative="0">
      <w:start w:val="1"/>
      <w:numFmt w:val="lowerLetter"/>
      <w:lvlText w:val="%5."/>
      <w:lvlJc w:val="left"/>
      <w:pPr>
        <w:tabs>
          <w:tab w:val="left" w:pos="2100"/>
        </w:tabs>
        <w:ind w:left="2503" w:hanging="420"/>
      </w:pPr>
      <w:rPr>
        <w:rFonts w:hint="default"/>
      </w:rPr>
    </w:lvl>
    <w:lvl w:ilvl="5" w:tentative="0">
      <w:start w:val="1"/>
      <w:numFmt w:val="lowerLetter"/>
      <w:lvlText w:val="%6)"/>
      <w:lvlJc w:val="left"/>
      <w:pPr>
        <w:tabs>
          <w:tab w:val="left" w:pos="2520"/>
        </w:tabs>
        <w:ind w:left="2923" w:hanging="420"/>
      </w:pPr>
      <w:rPr>
        <w:rFonts w:hint="default"/>
      </w:rPr>
    </w:lvl>
    <w:lvl w:ilvl="6" w:tentative="0">
      <w:start w:val="1"/>
      <w:numFmt w:val="lowerRoman"/>
      <w:lvlText w:val="%7."/>
      <w:lvlJc w:val="left"/>
      <w:pPr>
        <w:tabs>
          <w:tab w:val="left" w:pos="2940"/>
        </w:tabs>
        <w:ind w:left="3343" w:hanging="420"/>
      </w:pPr>
      <w:rPr>
        <w:rFonts w:hint="default"/>
      </w:rPr>
    </w:lvl>
    <w:lvl w:ilvl="7" w:tentative="0">
      <w:start w:val="1"/>
      <w:numFmt w:val="lowerRoman"/>
      <w:lvlText w:val="%8)"/>
      <w:lvlJc w:val="left"/>
      <w:pPr>
        <w:tabs>
          <w:tab w:val="left" w:pos="3360"/>
        </w:tabs>
        <w:ind w:left="3763" w:hanging="420"/>
      </w:pPr>
      <w:rPr>
        <w:rFonts w:hint="default"/>
      </w:rPr>
    </w:lvl>
    <w:lvl w:ilvl="8" w:tentative="0">
      <w:start w:val="1"/>
      <w:numFmt w:val="lowerLetter"/>
      <w:lvlText w:val="%9."/>
      <w:lvlJc w:val="left"/>
      <w:pPr>
        <w:tabs>
          <w:tab w:val="left" w:pos="3780"/>
        </w:tabs>
        <w:ind w:left="4183" w:hanging="420"/>
      </w:pPr>
      <w:rPr>
        <w:rFonts w:hint="default"/>
      </w:rPr>
    </w:lvl>
  </w:abstractNum>
  <w:abstractNum w:abstractNumId="8">
    <w:nsid w:val="2F8C1055"/>
    <w:multiLevelType w:val="singleLevel"/>
    <w:tmpl w:val="2F8C1055"/>
    <w:lvl w:ilvl="0" w:tentative="0">
      <w:start w:val="1"/>
      <w:numFmt w:val="chineseCounting"/>
      <w:suff w:val="nothing"/>
      <w:lvlText w:val="%1、"/>
      <w:lvlJc w:val="left"/>
      <w:pPr>
        <w:ind w:left="0" w:firstLine="420"/>
      </w:pPr>
      <w:rPr>
        <w:rFonts w:hint="eastAsia"/>
      </w:rPr>
    </w:lvl>
  </w:abstractNum>
  <w:abstractNum w:abstractNumId="9">
    <w:nsid w:val="3623365A"/>
    <w:multiLevelType w:val="singleLevel"/>
    <w:tmpl w:val="3623365A"/>
    <w:lvl w:ilvl="0" w:tentative="0">
      <w:start w:val="1"/>
      <w:numFmt w:val="decimal"/>
      <w:lvlText w:val="%1、"/>
      <w:lvlJc w:val="left"/>
      <w:pPr>
        <w:tabs>
          <w:tab w:val="left" w:pos="420"/>
        </w:tabs>
        <w:ind w:left="425" w:leftChars="0" w:hanging="425" w:firstLineChars="0"/>
      </w:pPr>
      <w:rPr>
        <w:rFonts w:hint="default"/>
      </w:rPr>
    </w:lvl>
  </w:abstractNum>
  <w:abstractNum w:abstractNumId="10">
    <w:nsid w:val="74ABDEB0"/>
    <w:multiLevelType w:val="multilevel"/>
    <w:tmpl w:val="74ABDEB0"/>
    <w:lvl w:ilvl="0" w:tentative="0">
      <w:start w:val="1"/>
      <w:numFmt w:val="decimal"/>
      <w:suff w:val="nothing"/>
      <w:lvlText w:val="%1、"/>
      <w:lvlJc w:val="left"/>
      <w:pPr>
        <w:ind w:left="0" w:firstLine="403"/>
      </w:pPr>
      <w:rPr>
        <w:rFonts w:hint="default"/>
      </w:rPr>
    </w:lvl>
    <w:lvl w:ilvl="1" w:tentative="0">
      <w:start w:val="1"/>
      <w:numFmt w:val="decimal"/>
      <w:lvlText w:val="(%2)"/>
      <w:lvlJc w:val="left"/>
      <w:pPr>
        <w:tabs>
          <w:tab w:val="left" w:pos="840"/>
        </w:tabs>
        <w:ind w:left="1243" w:hanging="420"/>
      </w:pPr>
      <w:rPr>
        <w:rFonts w:hint="default"/>
      </w:rPr>
    </w:lvl>
    <w:lvl w:ilvl="2" w:tentative="0">
      <w:start w:val="1"/>
      <w:numFmt w:val="decimalEnclosedCircleChinese"/>
      <w:lvlText w:val="%3"/>
      <w:lvlJc w:val="left"/>
      <w:pPr>
        <w:tabs>
          <w:tab w:val="left" w:pos="1260"/>
        </w:tabs>
        <w:ind w:left="1663" w:hanging="420"/>
      </w:pPr>
      <w:rPr>
        <w:rFonts w:hint="default"/>
      </w:rPr>
    </w:lvl>
    <w:lvl w:ilvl="3" w:tentative="0">
      <w:start w:val="1"/>
      <w:numFmt w:val="decimal"/>
      <w:lvlText w:val="%4)"/>
      <w:lvlJc w:val="left"/>
      <w:pPr>
        <w:tabs>
          <w:tab w:val="left" w:pos="1680"/>
        </w:tabs>
        <w:ind w:left="2083" w:hanging="420"/>
      </w:pPr>
      <w:rPr>
        <w:rFonts w:hint="default"/>
      </w:rPr>
    </w:lvl>
    <w:lvl w:ilvl="4" w:tentative="0">
      <w:start w:val="1"/>
      <w:numFmt w:val="lowerLetter"/>
      <w:lvlText w:val="%5."/>
      <w:lvlJc w:val="left"/>
      <w:pPr>
        <w:tabs>
          <w:tab w:val="left" w:pos="2100"/>
        </w:tabs>
        <w:ind w:left="2503" w:hanging="420"/>
      </w:pPr>
      <w:rPr>
        <w:rFonts w:hint="default"/>
      </w:rPr>
    </w:lvl>
    <w:lvl w:ilvl="5" w:tentative="0">
      <w:start w:val="1"/>
      <w:numFmt w:val="lowerLetter"/>
      <w:lvlText w:val="%6)"/>
      <w:lvlJc w:val="left"/>
      <w:pPr>
        <w:tabs>
          <w:tab w:val="left" w:pos="2520"/>
        </w:tabs>
        <w:ind w:left="2923" w:hanging="420"/>
      </w:pPr>
      <w:rPr>
        <w:rFonts w:hint="default"/>
      </w:rPr>
    </w:lvl>
    <w:lvl w:ilvl="6" w:tentative="0">
      <w:start w:val="1"/>
      <w:numFmt w:val="lowerRoman"/>
      <w:lvlText w:val="%7."/>
      <w:lvlJc w:val="left"/>
      <w:pPr>
        <w:tabs>
          <w:tab w:val="left" w:pos="2940"/>
        </w:tabs>
        <w:ind w:left="3343" w:hanging="420"/>
      </w:pPr>
      <w:rPr>
        <w:rFonts w:hint="default"/>
      </w:rPr>
    </w:lvl>
    <w:lvl w:ilvl="7" w:tentative="0">
      <w:start w:val="1"/>
      <w:numFmt w:val="lowerRoman"/>
      <w:lvlText w:val="%8)"/>
      <w:lvlJc w:val="left"/>
      <w:pPr>
        <w:tabs>
          <w:tab w:val="left" w:pos="3360"/>
        </w:tabs>
        <w:ind w:left="3763" w:hanging="420"/>
      </w:pPr>
      <w:rPr>
        <w:rFonts w:hint="default"/>
      </w:rPr>
    </w:lvl>
    <w:lvl w:ilvl="8" w:tentative="0">
      <w:start w:val="1"/>
      <w:numFmt w:val="lowerLetter"/>
      <w:lvlText w:val="%9."/>
      <w:lvlJc w:val="left"/>
      <w:pPr>
        <w:tabs>
          <w:tab w:val="left" w:pos="3780"/>
        </w:tabs>
        <w:ind w:left="4183" w:hanging="420"/>
      </w:pPr>
      <w:rPr>
        <w:rFonts w:hint="default"/>
      </w:rPr>
    </w:lvl>
  </w:abstractNum>
  <w:abstractNum w:abstractNumId="11">
    <w:nsid w:val="7D044C3C"/>
    <w:multiLevelType w:val="singleLevel"/>
    <w:tmpl w:val="7D044C3C"/>
    <w:lvl w:ilvl="0" w:tentative="0">
      <w:start w:val="1"/>
      <w:numFmt w:val="decimal"/>
      <w:lvlText w:val="%1、"/>
      <w:lvlJc w:val="left"/>
      <w:pPr>
        <w:tabs>
          <w:tab w:val="left" w:pos="420"/>
        </w:tabs>
        <w:ind w:left="425" w:leftChars="0" w:hanging="425" w:firstLineChars="0"/>
      </w:pPr>
      <w:rPr>
        <w:rFonts w:hint="default"/>
      </w:rPr>
    </w:lvl>
  </w:abstractNum>
  <w:num w:numId="1">
    <w:abstractNumId w:val="8"/>
  </w:num>
  <w:num w:numId="2">
    <w:abstractNumId w:val="2"/>
  </w:num>
  <w:num w:numId="3">
    <w:abstractNumId w:val="11"/>
  </w:num>
  <w:num w:numId="4">
    <w:abstractNumId w:val="9"/>
  </w:num>
  <w:num w:numId="5">
    <w:abstractNumId w:val="3"/>
  </w:num>
  <w:num w:numId="6">
    <w:abstractNumId w:val="5"/>
  </w:num>
  <w:num w:numId="7">
    <w:abstractNumId w:val="4"/>
  </w:num>
  <w:num w:numId="8">
    <w:abstractNumId w:val="7"/>
  </w:num>
  <w:num w:numId="9">
    <w:abstractNumId w:val="1"/>
  </w:num>
  <w:num w:numId="10">
    <w:abstractNumId w:val="6"/>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8141F9"/>
    <w:rsid w:val="05C83698"/>
    <w:rsid w:val="0BB574E9"/>
    <w:rsid w:val="0DF72211"/>
    <w:rsid w:val="0F227162"/>
    <w:rsid w:val="16373051"/>
    <w:rsid w:val="165E7E7E"/>
    <w:rsid w:val="1A120022"/>
    <w:rsid w:val="1AE22727"/>
    <w:rsid w:val="1C042A1F"/>
    <w:rsid w:val="20784C33"/>
    <w:rsid w:val="24D2209E"/>
    <w:rsid w:val="2B202C91"/>
    <w:rsid w:val="2D7D23EE"/>
    <w:rsid w:val="2DF60F5E"/>
    <w:rsid w:val="2F257DA7"/>
    <w:rsid w:val="2F80457E"/>
    <w:rsid w:val="349E5471"/>
    <w:rsid w:val="38D526E1"/>
    <w:rsid w:val="394B75AF"/>
    <w:rsid w:val="3C2B5111"/>
    <w:rsid w:val="3DA7680A"/>
    <w:rsid w:val="42D142E2"/>
    <w:rsid w:val="461E3079"/>
    <w:rsid w:val="46A139FD"/>
    <w:rsid w:val="481007AD"/>
    <w:rsid w:val="49E17296"/>
    <w:rsid w:val="4AC86916"/>
    <w:rsid w:val="4D8E366A"/>
    <w:rsid w:val="4E8C54B1"/>
    <w:rsid w:val="4EC10F8B"/>
    <w:rsid w:val="4EDA651C"/>
    <w:rsid w:val="4FDE15A9"/>
    <w:rsid w:val="503C735D"/>
    <w:rsid w:val="51051655"/>
    <w:rsid w:val="51277097"/>
    <w:rsid w:val="52A05BEE"/>
    <w:rsid w:val="52A13E2E"/>
    <w:rsid w:val="54D97240"/>
    <w:rsid w:val="63B25E95"/>
    <w:rsid w:val="66102866"/>
    <w:rsid w:val="66D31996"/>
    <w:rsid w:val="688F3EA6"/>
    <w:rsid w:val="69887333"/>
    <w:rsid w:val="6A454942"/>
    <w:rsid w:val="6CFB554B"/>
    <w:rsid w:val="782E6441"/>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3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Normal Indent"/>
    <w:basedOn w:val="1"/>
    <w:qFormat/>
    <w:uiPriority w:val="0"/>
    <w:pPr>
      <w:ind w:firstLine="420"/>
    </w:pPr>
  </w:style>
  <w:style w:type="paragraph" w:styleId="7">
    <w:name w:val="Body Text"/>
    <w:basedOn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8">
    <w:name w:val="Body Text Indent"/>
    <w:basedOn w:val="1"/>
    <w:autoRedefine/>
    <w:qFormat/>
    <w:uiPriority w:val="0"/>
    <w:pPr>
      <w:spacing w:after="120" w:afterLines="0"/>
      <w:ind w:left="420" w:leftChars="200"/>
    </w:pPr>
  </w:style>
  <w:style w:type="paragraph" w:styleId="9">
    <w:name w:val="footer"/>
    <w:basedOn w:val="1"/>
    <w:link w:val="22"/>
    <w:autoRedefine/>
    <w:qFormat/>
    <w:uiPriority w:val="0"/>
    <w:pPr>
      <w:tabs>
        <w:tab w:val="center" w:pos="4513"/>
        <w:tab w:val="right" w:pos="9026"/>
      </w:tabs>
      <w:snapToGrid w:val="0"/>
      <w:jc w:val="left"/>
    </w:pPr>
    <w:rPr>
      <w:sz w:val="18"/>
      <w:szCs w:val="18"/>
    </w:rPr>
  </w:style>
  <w:style w:type="paragraph" w:styleId="10">
    <w:name w:val="header"/>
    <w:basedOn w:val="1"/>
    <w:link w:val="21"/>
    <w:autoRedefine/>
    <w:qFormat/>
    <w:uiPriority w:val="0"/>
    <w:pPr>
      <w:tabs>
        <w:tab w:val="center" w:pos="4513"/>
        <w:tab w:val="right" w:pos="9026"/>
      </w:tabs>
      <w:snapToGrid w:val="0"/>
      <w:jc w:val="center"/>
    </w:pPr>
    <w:rPr>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2">
    <w:name w:val="Title"/>
    <w:basedOn w:val="1"/>
    <w:autoRedefine/>
    <w:qFormat/>
    <w:uiPriority w:val="0"/>
    <w:pPr>
      <w:spacing w:before="240" w:after="60"/>
      <w:jc w:val="center"/>
      <w:outlineLvl w:val="0"/>
    </w:pPr>
    <w:rPr>
      <w:rFonts w:ascii="Arial" w:hAnsi="Arial" w:cs="Times New Roman"/>
      <w:b/>
      <w:sz w:val="32"/>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1"/>
    <w:basedOn w:val="1"/>
    <w:next w:val="8"/>
    <w:autoRedefine/>
    <w:qFormat/>
    <w:uiPriority w:val="0"/>
    <w:pPr>
      <w:widowControl w:val="0"/>
      <w:jc w:val="both"/>
    </w:pPr>
    <w:rPr>
      <w:rFonts w:ascii="宋体" w:hAnsi="Courier New"/>
      <w:kern w:val="2"/>
    </w:rPr>
  </w:style>
  <w:style w:type="paragraph" w:customStyle="1" w:styleId="17">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18">
    <w:name w:val="表格文字"/>
    <w:basedOn w:val="1"/>
    <w:autoRedefine/>
    <w:qFormat/>
    <w:uiPriority w:val="0"/>
    <w:pPr>
      <w:spacing w:before="25" w:after="25"/>
    </w:pPr>
    <w:rPr>
      <w:bCs/>
      <w:spacing w:val="10"/>
      <w:kern w:val="0"/>
    </w:rPr>
  </w:style>
  <w:style w:type="paragraph" w:customStyle="1" w:styleId="19">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0">
    <w:name w:val="No Spacing"/>
    <w:autoRedefine/>
    <w:qFormat/>
    <w:uiPriority w:val="1"/>
    <w:rPr>
      <w:rFonts w:ascii="Calibri" w:hAnsi="Calibri" w:eastAsia="宋体" w:cs="Times New Roman"/>
      <w:sz w:val="22"/>
      <w:szCs w:val="22"/>
      <w:lang w:val="en-US" w:eastAsia="zh-CN" w:bidi="ar-SA"/>
    </w:rPr>
  </w:style>
  <w:style w:type="character" w:customStyle="1" w:styleId="21">
    <w:name w:val="页眉 字符"/>
    <w:basedOn w:val="15"/>
    <w:link w:val="10"/>
    <w:autoRedefine/>
    <w:qFormat/>
    <w:uiPriority w:val="0"/>
    <w:rPr>
      <w:rFonts w:ascii="Calibri" w:hAnsi="Calibri" w:eastAsia="宋体" w:cs="Times New Roman"/>
      <w:kern w:val="2"/>
      <w:sz w:val="18"/>
      <w:szCs w:val="18"/>
    </w:rPr>
  </w:style>
  <w:style w:type="character" w:customStyle="1" w:styleId="22">
    <w:name w:val="页脚 字符"/>
    <w:basedOn w:val="15"/>
    <w:link w:val="9"/>
    <w:autoRedefine/>
    <w:qFormat/>
    <w:uiPriority w:val="0"/>
    <w:rPr>
      <w:rFonts w:ascii="Calibri" w:hAnsi="Calibri" w:eastAsia="宋体" w:cs="Times New Roman"/>
      <w:kern w:val="2"/>
      <w:sz w:val="18"/>
      <w:szCs w:val="18"/>
    </w:rPr>
  </w:style>
  <w:style w:type="paragraph" w:customStyle="1" w:styleId="23">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4">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5">
    <w:name w:val="List Paragraph"/>
    <w:basedOn w:val="1"/>
    <w:autoRedefine/>
    <w:qFormat/>
    <w:uiPriority w:val="34"/>
    <w:pPr>
      <w:ind w:firstLine="420" w:firstLineChars="200"/>
    </w:pPr>
  </w:style>
  <w:style w:type="paragraph" w:customStyle="1" w:styleId="26">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7">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28">
    <w:name w:val="Plain Text"/>
    <w:basedOn w:val="1"/>
    <w:qFormat/>
    <w:uiPriority w:val="0"/>
    <w:rPr>
      <w:rFonts w:ascii="宋体" w:hAnsi="Courier New"/>
      <w:sz w:val="24"/>
      <w:szCs w:val="20"/>
    </w:rPr>
  </w:style>
  <w:style w:type="paragraph" w:customStyle="1" w:styleId="29">
    <w:name w:val="Date"/>
    <w:basedOn w:val="1"/>
    <w:next w:val="1"/>
    <w:qFormat/>
    <w:uiPriority w:val="0"/>
    <w:rPr>
      <w:rFonts w:ascii="Arial" w:hAnsi="Arial" w:eastAsia="KaiTi_GB2312"/>
      <w:sz w:val="28"/>
      <w:szCs w:val="20"/>
    </w:rPr>
  </w:style>
  <w:style w:type="paragraph" w:customStyle="1" w:styleId="30">
    <w:name w:val="列出段落1"/>
    <w:basedOn w:val="1"/>
    <w:qFormat/>
    <w:uiPriority w:val="34"/>
    <w:pPr>
      <w:ind w:firstLine="420" w:firstLineChars="200"/>
      <w:jc w:val="left"/>
    </w:pPr>
    <w:rPr>
      <w:rFonts w:ascii="Courier New" w:hAnsi="Courier New"/>
      <w:snapToGrid w:val="0"/>
      <w:kern w:val="0"/>
      <w:sz w:val="24"/>
      <w:szCs w:val="20"/>
      <w:lang w:eastAsia="en-US"/>
    </w:rPr>
  </w:style>
  <w:style w:type="character" w:customStyle="1" w:styleId="31">
    <w:name w:val="标题 2 Char"/>
    <w:basedOn w:val="15"/>
    <w:link w:val="3"/>
    <w:autoRedefine/>
    <w:qFormat/>
    <w:uiPriority w:val="9"/>
    <w:rPr>
      <w:rFonts w:ascii="Arial" w:hAnsi="Arial" w:eastAsia="黑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1528</Words>
  <Characters>1595</Characters>
  <Lines>8</Lines>
  <Paragraphs>2</Paragraphs>
  <TotalTime>20</TotalTime>
  <ScaleCrop>false</ScaleCrop>
  <LinksUpToDate>false</LinksUpToDate>
  <CharactersWithSpaces>1671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Ikki</cp:lastModifiedBy>
  <dcterms:modified xsi:type="dcterms:W3CDTF">2024-10-15T01:09:28Z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232F818D469648B6BB166BAD90FA0897_13</vt:lpwstr>
  </property>
</Properties>
</file>