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8522"/>
      </w:tblGrid>
      <w:tr w14:paraId="0564F8DD">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ADDC08B">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1BE4AFB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ABD980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34573B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CFFA95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项目名称：贵州航天医院供配电</w:t>
            </w:r>
            <w:r>
              <w:rPr>
                <w:rFonts w:hint="eastAsia" w:ascii="FangSong_GB2312" w:hAnsi="FangSong_GB2312" w:eastAsia="FangSong_GB2312" w:cs="FangSong_GB2312"/>
                <w:color w:val="000000"/>
                <w:kern w:val="0"/>
                <w:sz w:val="24"/>
                <w:lang w:val="en-US" w:eastAsia="zh-CN" w:bidi="ar"/>
              </w:rPr>
              <w:t>运维值守维保</w:t>
            </w:r>
            <w:r>
              <w:rPr>
                <w:rFonts w:hint="eastAsia" w:ascii="FangSong_GB2312" w:hAnsi="FangSong_GB2312" w:eastAsia="FangSong_GB2312" w:cs="FangSong_GB2312"/>
                <w:color w:val="000000"/>
                <w:kern w:val="0"/>
                <w:sz w:val="24"/>
                <w:lang w:bidi="ar"/>
              </w:rPr>
              <w:t>服务</w:t>
            </w:r>
            <w:r>
              <w:rPr>
                <w:rFonts w:hint="eastAsia" w:ascii="FangSong_GB2312" w:hAnsi="FangSong_GB2312" w:eastAsia="FangSong_GB2312" w:cs="FangSong_GB2312"/>
                <w:color w:val="000000"/>
                <w:kern w:val="0"/>
                <w:sz w:val="24"/>
                <w:lang w:bidi="ar"/>
              </w:rPr>
              <w:t>采购项目</w:t>
            </w:r>
          </w:p>
        </w:tc>
      </w:tr>
      <w:tr w14:paraId="6CC464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53A2DD2">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36653359">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0D6F0C14">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250000元/年</w:t>
            </w:r>
          </w:p>
        </w:tc>
      </w:tr>
      <w:tr w14:paraId="4A901FF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FC6531B">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250000元/年</w:t>
            </w:r>
          </w:p>
        </w:tc>
      </w:tr>
      <w:tr w14:paraId="371FE4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CA3C199">
            <w:pPr>
              <w:pStyle w:val="9"/>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588DC75B">
            <w:pPr>
              <w:ind w:firstLine="960" w:firstLineChars="400"/>
              <w:rPr>
                <w:rFonts w:hint="default"/>
                <w:lang w:val="en-US" w:eastAsia="zh-CN"/>
              </w:rPr>
            </w:pPr>
            <w:r>
              <w:rPr>
                <w:rFonts w:hint="eastAsia" w:ascii="FangSong_GB2312" w:hAnsi="FangSong_GB2312" w:eastAsia="FangSong_GB2312" w:cs="FangSong_GB2312"/>
                <w:color w:val="000000"/>
                <w:kern w:val="0"/>
                <w:sz w:val="24"/>
                <w:lang w:bidi="ar"/>
              </w:rPr>
              <w:t>配电</w:t>
            </w:r>
            <w:r>
              <w:rPr>
                <w:rFonts w:hint="eastAsia" w:ascii="FangSong_GB2312" w:hAnsi="FangSong_GB2312" w:eastAsia="FangSong_GB2312" w:cs="FangSong_GB2312"/>
                <w:color w:val="000000"/>
                <w:kern w:val="0"/>
                <w:sz w:val="24"/>
                <w:lang w:val="en-US" w:eastAsia="zh-CN" w:bidi="ar"/>
              </w:rPr>
              <w:t>运维值守维保</w:t>
            </w:r>
            <w:r>
              <w:rPr>
                <w:rFonts w:hint="eastAsia" w:ascii="FangSong_GB2312" w:hAnsi="FangSong_GB2312" w:eastAsia="FangSong_GB2312" w:cs="FangSong_GB2312"/>
                <w:color w:val="000000"/>
                <w:kern w:val="0"/>
                <w:sz w:val="24"/>
                <w:lang w:bidi="ar"/>
              </w:rPr>
              <w:t>服务</w:t>
            </w:r>
            <w:r>
              <w:rPr>
                <w:rFonts w:hint="eastAsia" w:ascii="FangSong_GB2312" w:hAnsi="FangSong_GB2312" w:eastAsia="FangSong_GB2312" w:cs="FangSong_GB2312"/>
                <w:color w:val="000000"/>
                <w:kern w:val="0"/>
                <w:sz w:val="24"/>
                <w:lang w:val="en-US" w:eastAsia="zh-CN" w:bidi="ar"/>
              </w:rPr>
              <w:t>1年，详细参数见附件</w:t>
            </w:r>
          </w:p>
        </w:tc>
      </w:tr>
      <w:tr w14:paraId="34CEF36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141B32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76B33AF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D778E9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3AFC1A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1289ED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553FC75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1E648A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FE725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4E5BB8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78554C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8D46EC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486658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951572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E40973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541BCF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0012A90C">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0224626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66B4B9A">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D274A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54CB614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C60053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eastAsia="zh-CN" w:bidi="ar"/>
              </w:rPr>
              <w:t>三</w:t>
            </w:r>
            <w:r>
              <w:rPr>
                <w:rFonts w:hint="eastAsia" w:ascii="FangSong_GB2312" w:hAnsi="FangSong_GB2312" w:eastAsia="FangSong_GB2312" w:cs="FangSong_GB2312"/>
                <w:b/>
                <w:bCs/>
                <w:color w:val="000000"/>
                <w:kern w:val="0"/>
                <w:sz w:val="24"/>
                <w:lang w:bidi="ar"/>
              </w:rPr>
              <w:t>、响应文件提交</w:t>
            </w:r>
          </w:p>
        </w:tc>
      </w:tr>
      <w:tr w14:paraId="6A7D013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38D3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4F01B6A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40119C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采购办</w:t>
            </w:r>
            <w:r>
              <w:rPr>
                <w:rFonts w:hint="eastAsia" w:ascii="FangSong_GB2312" w:hAnsi="FangSong_GB2312" w:eastAsia="FangSong_GB2312" w:cs="FangSong_GB2312"/>
                <w:color w:val="000000"/>
                <w:kern w:val="0"/>
                <w:sz w:val="24"/>
                <w:lang w:bidi="ar"/>
              </w:rPr>
              <w:t>陈星雨收，联系电话：0851-</w:t>
            </w:r>
            <w:r>
              <w:rPr>
                <w:rFonts w:hint="eastAsia" w:asciiTheme="minorEastAsia" w:hAnsiTheme="minorEastAsia" w:eastAsiaTheme="minorEastAsia" w:cstheme="minorEastAsia"/>
                <w:color w:val="000000"/>
                <w:kern w:val="0"/>
                <w:sz w:val="24"/>
                <w:lang w:bidi="ar"/>
              </w:rPr>
              <w:t>27677989</w:t>
            </w:r>
          </w:p>
        </w:tc>
      </w:tr>
      <w:tr w14:paraId="1217ABF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2DAE9DC">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49F9FF73">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9CB871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eastAsia="zh-CN" w:bidi="ar"/>
              </w:rPr>
              <w:t>四</w:t>
            </w:r>
            <w:bookmarkStart w:id="0" w:name="_GoBack"/>
            <w:bookmarkEnd w:id="0"/>
            <w:r>
              <w:rPr>
                <w:rFonts w:hint="eastAsia" w:ascii="FangSong_GB2312" w:hAnsi="FangSong_GB2312" w:eastAsia="FangSong_GB2312" w:cs="FangSong_GB2312"/>
                <w:b/>
                <w:bCs/>
                <w:color w:val="000000"/>
                <w:kern w:val="0"/>
                <w:sz w:val="24"/>
                <w:lang w:bidi="ar"/>
              </w:rPr>
              <w:t>、联系人及联系方式：</w:t>
            </w:r>
            <w:r>
              <w:rPr>
                <w:rFonts w:hint="eastAsia" w:ascii="FangSong_GB2312" w:hAnsi="FangSong_GB2312" w:eastAsia="FangSong_GB2312" w:cs="FangSong_GB2312"/>
                <w:color w:val="000000"/>
                <w:kern w:val="0"/>
                <w:sz w:val="24"/>
                <w:lang w:eastAsia="zh-CN" w:bidi="ar"/>
              </w:rPr>
              <w:t>采购办陈天然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2F4A0A9">
      <w:pPr>
        <w:pStyle w:val="13"/>
        <w:keepNext w:val="0"/>
        <w:keepLines w:val="0"/>
        <w:widowControl w:val="0"/>
        <w:shd w:val="clear" w:color="auto" w:fill="auto"/>
        <w:bidi w:val="0"/>
        <w:spacing w:before="0" w:line="240" w:lineRule="auto"/>
        <w:ind w:left="0" w:right="0" w:firstLine="0"/>
        <w:jc w:val="center"/>
        <w:rPr>
          <w:spacing w:val="0"/>
          <w:w w:val="100"/>
          <w:position w:val="0"/>
        </w:rPr>
      </w:pPr>
    </w:p>
    <w:p w14:paraId="35125FF1">
      <w:pPr>
        <w:pStyle w:val="13"/>
        <w:keepNext w:val="0"/>
        <w:keepLines w:val="0"/>
        <w:widowControl w:val="0"/>
        <w:shd w:val="clear" w:color="auto" w:fill="auto"/>
        <w:bidi w:val="0"/>
        <w:spacing w:before="0" w:line="240" w:lineRule="auto"/>
        <w:ind w:left="0" w:right="0" w:firstLine="0"/>
        <w:jc w:val="center"/>
        <w:rPr>
          <w:spacing w:val="0"/>
          <w:w w:val="100"/>
          <w:position w:val="0"/>
        </w:rPr>
      </w:pPr>
    </w:p>
    <w:p w14:paraId="300C279C">
      <w:pPr>
        <w:pStyle w:val="13"/>
        <w:keepNext w:val="0"/>
        <w:keepLines w:val="0"/>
        <w:widowControl w:val="0"/>
        <w:shd w:val="clear" w:color="auto" w:fill="auto"/>
        <w:bidi w:val="0"/>
        <w:spacing w:before="0" w:line="240" w:lineRule="auto"/>
        <w:ind w:left="0" w:right="0" w:firstLine="0"/>
        <w:jc w:val="center"/>
        <w:rPr>
          <w:spacing w:val="0"/>
          <w:w w:val="100"/>
          <w:position w:val="0"/>
        </w:rPr>
      </w:pPr>
    </w:p>
    <w:p w14:paraId="16F8722B">
      <w:pPr>
        <w:pStyle w:val="13"/>
        <w:keepNext w:val="0"/>
        <w:keepLines w:val="0"/>
        <w:widowControl w:val="0"/>
        <w:shd w:val="clear" w:color="auto" w:fill="auto"/>
        <w:bidi w:val="0"/>
        <w:spacing w:before="0" w:line="240" w:lineRule="auto"/>
        <w:ind w:left="0" w:right="0" w:firstLine="0"/>
        <w:jc w:val="center"/>
        <w:rPr>
          <w:spacing w:val="0"/>
          <w:w w:val="100"/>
          <w:position w:val="0"/>
        </w:rPr>
      </w:pPr>
    </w:p>
    <w:p w14:paraId="1DCC46BC">
      <w:pPr>
        <w:pStyle w:val="16"/>
        <w:outlineLvl w:val="3"/>
        <w:rPr>
          <w:rFonts w:hint="eastAsia"/>
          <w:b/>
          <w:sz w:val="24"/>
          <w:lang w:val="en-US" w:eastAsia="zh-CN"/>
        </w:rPr>
      </w:pPr>
      <w:r>
        <w:rPr>
          <w:rFonts w:hint="eastAsia"/>
          <w:b/>
          <w:sz w:val="24"/>
          <w:lang w:val="en-US" w:eastAsia="zh-CN"/>
        </w:rPr>
        <w:t>附件：</w:t>
      </w:r>
    </w:p>
    <w:p w14:paraId="4CE58602">
      <w:pPr>
        <w:pStyle w:val="16"/>
        <w:outlineLvl w:val="3"/>
      </w:pPr>
      <w:r>
        <w:rPr>
          <w:rFonts w:hint="eastAsia"/>
          <w:b/>
          <w:sz w:val="24"/>
          <w:lang w:val="en-US" w:eastAsia="zh-CN"/>
        </w:rPr>
        <w:t>1</w:t>
      </w:r>
      <w:r>
        <w:rPr>
          <w:b/>
          <w:sz w:val="24"/>
        </w:rPr>
        <w:t>.详细评审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3177"/>
        <w:gridCol w:w="4512"/>
      </w:tblGrid>
      <w:tr w14:paraId="51F58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tcPr>
          <w:p w14:paraId="1111985D">
            <w:pPr>
              <w:pStyle w:val="16"/>
              <w:jc w:val="center"/>
            </w:pPr>
            <w:r>
              <w:t>评审因素</w:t>
            </w:r>
          </w:p>
        </w:tc>
        <w:tc>
          <w:tcPr>
            <w:tcW w:w="7689" w:type="dxa"/>
            <w:gridSpan w:val="2"/>
          </w:tcPr>
          <w:p w14:paraId="08F586D6">
            <w:pPr>
              <w:pStyle w:val="16"/>
              <w:jc w:val="center"/>
            </w:pPr>
            <w:r>
              <w:t>评审标准</w:t>
            </w:r>
          </w:p>
        </w:tc>
      </w:tr>
      <w:tr w14:paraId="68BD6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restart"/>
          </w:tcPr>
          <w:p w14:paraId="2C8F0399">
            <w:pPr>
              <w:pStyle w:val="16"/>
              <w:jc w:val="center"/>
            </w:pPr>
            <w:r>
              <w:t>技</w:t>
            </w:r>
          </w:p>
          <w:p w14:paraId="47272612">
            <w:pPr>
              <w:pStyle w:val="16"/>
              <w:jc w:val="center"/>
            </w:pPr>
            <w:r>
              <w:t>术</w:t>
            </w:r>
          </w:p>
          <w:p w14:paraId="596882D0">
            <w:pPr>
              <w:pStyle w:val="16"/>
              <w:jc w:val="center"/>
              <w:rPr>
                <w:rFonts w:hint="eastAsia"/>
                <w:lang w:val="en-US" w:eastAsia="zh-CN"/>
              </w:rPr>
            </w:pPr>
            <w:r>
              <w:rPr>
                <w:rFonts w:hint="eastAsia"/>
                <w:lang w:val="en-US" w:eastAsia="zh-CN"/>
              </w:rPr>
              <w:t>方</w:t>
            </w:r>
          </w:p>
          <w:p w14:paraId="7C5D5399">
            <w:pPr>
              <w:pStyle w:val="16"/>
              <w:jc w:val="center"/>
              <w:rPr>
                <w:rFonts w:hint="default" w:eastAsiaTheme="minorEastAsia"/>
                <w:lang w:val="en-US" w:eastAsia="zh-CN"/>
              </w:rPr>
            </w:pPr>
            <w:r>
              <w:rPr>
                <w:rFonts w:hint="eastAsia"/>
                <w:lang w:val="en-US" w:eastAsia="zh-CN"/>
              </w:rPr>
              <w:t>案</w:t>
            </w:r>
          </w:p>
        </w:tc>
        <w:tc>
          <w:tcPr>
            <w:tcW w:w="3177" w:type="dxa"/>
          </w:tcPr>
          <w:p w14:paraId="0CEE1BE6">
            <w:pPr>
              <w:pStyle w:val="16"/>
              <w:jc w:val="left"/>
              <w:rPr>
                <w:highlight w:val="none"/>
              </w:rPr>
            </w:pPr>
            <w:r>
              <w:rPr>
                <w:highlight w:val="none"/>
              </w:rPr>
              <w:t>需求响应程度 (12.0分)</w:t>
            </w:r>
          </w:p>
        </w:tc>
        <w:tc>
          <w:tcPr>
            <w:tcW w:w="4512" w:type="dxa"/>
          </w:tcPr>
          <w:p w14:paraId="0480900F">
            <w:pPr>
              <w:pStyle w:val="16"/>
              <w:jc w:val="left"/>
              <w:rPr>
                <w:highlight w:val="none"/>
              </w:rPr>
            </w:pPr>
            <w:r>
              <w:rPr>
                <w:highlight w:val="none"/>
              </w:rPr>
              <w:t>对采购人采购需求的了解及响应程度包含但不限于对本项目采购需求的理解、对本项目的设备维护保养要求和技术要求的了解</w:t>
            </w:r>
            <w:r>
              <w:rPr>
                <w:rFonts w:hint="eastAsia"/>
                <w:highlight w:val="none"/>
                <w:lang w:eastAsia="zh-CN"/>
              </w:rPr>
              <w:t>，</w:t>
            </w:r>
            <w:r>
              <w:rPr>
                <w:rFonts w:hint="eastAsia"/>
                <w:highlight w:val="none"/>
                <w:lang w:val="en-US" w:eastAsia="zh-CN"/>
              </w:rPr>
              <w:t>提供方案得12分，不提供不得分</w:t>
            </w:r>
            <w:r>
              <w:rPr>
                <w:highlight w:val="none"/>
              </w:rPr>
              <w:t>。</w:t>
            </w:r>
          </w:p>
        </w:tc>
      </w:tr>
      <w:tr w14:paraId="7275B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00A969DB"/>
        </w:tc>
        <w:tc>
          <w:tcPr>
            <w:tcW w:w="3177" w:type="dxa"/>
          </w:tcPr>
          <w:p w14:paraId="6893CB45">
            <w:pPr>
              <w:pStyle w:val="16"/>
              <w:jc w:val="left"/>
              <w:rPr>
                <w:highlight w:val="none"/>
              </w:rPr>
            </w:pPr>
            <w:r>
              <w:rPr>
                <w:highlight w:val="none"/>
              </w:rPr>
              <w:t>项目服务计划和实施方案 (</w:t>
            </w:r>
            <w:r>
              <w:rPr>
                <w:rFonts w:hint="eastAsia"/>
                <w:highlight w:val="none"/>
                <w:lang w:val="en-US" w:eastAsia="zh-CN"/>
              </w:rPr>
              <w:t>5</w:t>
            </w:r>
            <w:r>
              <w:rPr>
                <w:highlight w:val="none"/>
              </w:rPr>
              <w:t>.0分)</w:t>
            </w:r>
          </w:p>
        </w:tc>
        <w:tc>
          <w:tcPr>
            <w:tcW w:w="4512" w:type="dxa"/>
          </w:tcPr>
          <w:p w14:paraId="61527278">
            <w:pPr>
              <w:pStyle w:val="16"/>
              <w:jc w:val="left"/>
              <w:rPr>
                <w:highlight w:val="none"/>
              </w:rPr>
            </w:pPr>
            <w:r>
              <w:rPr>
                <w:highlight w:val="none"/>
              </w:rPr>
              <w:t>项目服务计划和实施方案包含但不限于服务计划的时间安排、内容的计划、方案实施的具体事项、对实施过程的各因素分析把握等： 计划周全、实施性高，合理性、可行性强，亮点多、针对性强，对不可预见因素分析透彻，得</w:t>
            </w:r>
            <w:r>
              <w:rPr>
                <w:rFonts w:hint="eastAsia"/>
                <w:highlight w:val="none"/>
                <w:lang w:val="en-US" w:eastAsia="zh-CN"/>
              </w:rPr>
              <w:t>5</w:t>
            </w:r>
            <w:r>
              <w:rPr>
                <w:highlight w:val="none"/>
              </w:rPr>
              <w:t>分； 计划较为全面，实施性较高，具有一定的合理性、可行性，对不可预见因素分析到位，得</w:t>
            </w:r>
            <w:r>
              <w:rPr>
                <w:rFonts w:hint="eastAsia"/>
                <w:highlight w:val="none"/>
                <w:lang w:val="en-US" w:eastAsia="zh-CN"/>
              </w:rPr>
              <w:t>3</w:t>
            </w:r>
            <w:r>
              <w:rPr>
                <w:highlight w:val="none"/>
              </w:rPr>
              <w:t>分； 计划基本全面，具有一定的实施性，具有较好的合理性、可行性，对不可预见因素分析基本到位，得</w:t>
            </w:r>
            <w:r>
              <w:rPr>
                <w:rFonts w:hint="eastAsia"/>
                <w:highlight w:val="none"/>
                <w:lang w:val="en-US" w:eastAsia="zh-CN"/>
              </w:rPr>
              <w:t>2</w:t>
            </w:r>
            <w:r>
              <w:rPr>
                <w:highlight w:val="none"/>
              </w:rPr>
              <w:t>分； 计划不够全面，实施性较低，对不可预见因素分析不太到位，得</w:t>
            </w:r>
            <w:r>
              <w:rPr>
                <w:rFonts w:hint="eastAsia"/>
                <w:highlight w:val="none"/>
                <w:lang w:val="en-US" w:eastAsia="zh-CN"/>
              </w:rPr>
              <w:t>1</w:t>
            </w:r>
            <w:r>
              <w:rPr>
                <w:highlight w:val="none"/>
              </w:rPr>
              <w:t>分； 未提供方案的，得0分。</w:t>
            </w:r>
          </w:p>
        </w:tc>
      </w:tr>
      <w:tr w14:paraId="35800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1049FBF8"/>
        </w:tc>
        <w:tc>
          <w:tcPr>
            <w:tcW w:w="3177" w:type="dxa"/>
          </w:tcPr>
          <w:p w14:paraId="25F26BC5">
            <w:pPr>
              <w:pStyle w:val="16"/>
              <w:jc w:val="left"/>
              <w:rPr>
                <w:highlight w:val="none"/>
              </w:rPr>
            </w:pPr>
            <w:r>
              <w:rPr>
                <w:highlight w:val="none"/>
              </w:rPr>
              <w:t>质量管理措施与服务承诺及项目交接方案 (</w:t>
            </w:r>
            <w:r>
              <w:rPr>
                <w:rFonts w:hint="eastAsia"/>
                <w:highlight w:val="none"/>
                <w:lang w:val="en-US" w:eastAsia="zh-CN"/>
              </w:rPr>
              <w:t>5</w:t>
            </w:r>
            <w:r>
              <w:rPr>
                <w:highlight w:val="none"/>
              </w:rPr>
              <w:t>.0分)</w:t>
            </w:r>
          </w:p>
        </w:tc>
        <w:tc>
          <w:tcPr>
            <w:tcW w:w="4512" w:type="dxa"/>
          </w:tcPr>
          <w:p w14:paraId="7DF239BA">
            <w:pPr>
              <w:pStyle w:val="16"/>
              <w:jc w:val="left"/>
              <w:rPr>
                <w:highlight w:val="none"/>
              </w:rPr>
            </w:pPr>
            <w:r>
              <w:rPr>
                <w:highlight w:val="none"/>
              </w:rPr>
              <w:t>对各投标人提供的质量保障措施、服务承诺及项目交接方案进行评审：质量保障措施和服务承诺全面、具体、有针对性，配套措施完善，项目交接方案好，考虑情况全面，得</w:t>
            </w:r>
            <w:r>
              <w:rPr>
                <w:rFonts w:hint="eastAsia"/>
                <w:highlight w:val="none"/>
                <w:lang w:val="en-US" w:eastAsia="zh-CN"/>
              </w:rPr>
              <w:t>5</w:t>
            </w:r>
            <w:r>
              <w:rPr>
                <w:highlight w:val="none"/>
              </w:rPr>
              <w:t>分；质量保障措施和服务承诺较具体，配套措施较完善，项目交接方案较好，考虑情况较全面，得</w:t>
            </w:r>
            <w:r>
              <w:rPr>
                <w:rFonts w:hint="eastAsia"/>
                <w:highlight w:val="none"/>
                <w:lang w:val="en-US" w:eastAsia="zh-CN"/>
              </w:rPr>
              <w:t>3</w:t>
            </w:r>
            <w:r>
              <w:rPr>
                <w:highlight w:val="none"/>
              </w:rPr>
              <w:t>分；质量保障措施和服务承诺一般，配套措施一般，项目交接方案一般，考虑情况一般，得</w:t>
            </w:r>
            <w:r>
              <w:rPr>
                <w:rFonts w:hint="eastAsia"/>
                <w:highlight w:val="none"/>
                <w:lang w:val="en-US" w:eastAsia="zh-CN"/>
              </w:rPr>
              <w:t>2</w:t>
            </w:r>
            <w:r>
              <w:rPr>
                <w:highlight w:val="none"/>
              </w:rPr>
              <w:t>分； 质量保障措施和服务承诺不够全面，配套措施不够全面，项目交接方案不够全面，考虑情况不够全面，得1分。 未提供方案的，得0分。</w:t>
            </w:r>
          </w:p>
        </w:tc>
      </w:tr>
      <w:tr w14:paraId="6872F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3CCFBF90"/>
        </w:tc>
        <w:tc>
          <w:tcPr>
            <w:tcW w:w="3177" w:type="dxa"/>
          </w:tcPr>
          <w:p w14:paraId="04040A76">
            <w:pPr>
              <w:pStyle w:val="16"/>
              <w:jc w:val="left"/>
              <w:rPr>
                <w:highlight w:val="none"/>
              </w:rPr>
            </w:pPr>
            <w:r>
              <w:rPr>
                <w:highlight w:val="none"/>
              </w:rPr>
              <w:t>应急抢修服务方案 (</w:t>
            </w:r>
            <w:r>
              <w:rPr>
                <w:rFonts w:hint="eastAsia"/>
                <w:highlight w:val="none"/>
                <w:lang w:val="en-US" w:eastAsia="zh-CN"/>
              </w:rPr>
              <w:t>5</w:t>
            </w:r>
            <w:r>
              <w:rPr>
                <w:highlight w:val="none"/>
              </w:rPr>
              <w:t>.0分)</w:t>
            </w:r>
          </w:p>
        </w:tc>
        <w:tc>
          <w:tcPr>
            <w:tcW w:w="4512" w:type="dxa"/>
          </w:tcPr>
          <w:p w14:paraId="3CCE75E1">
            <w:pPr>
              <w:pStyle w:val="16"/>
              <w:jc w:val="left"/>
              <w:rPr>
                <w:highlight w:val="none"/>
              </w:rPr>
            </w:pPr>
            <w:r>
              <w:rPr>
                <w:highlight w:val="none"/>
              </w:rPr>
              <w:t>应急抢修服务能力包含但不限于应急抢修范围、应急抢修响应时间及针对医疗机构制定的应急抢修保证措施等： 应急抢修服务方案完全结合实际，具体，有针对性，得</w:t>
            </w:r>
            <w:r>
              <w:rPr>
                <w:rFonts w:hint="eastAsia"/>
                <w:highlight w:val="none"/>
                <w:lang w:val="en-US" w:eastAsia="zh-CN"/>
              </w:rPr>
              <w:t>5</w:t>
            </w:r>
            <w:r>
              <w:rPr>
                <w:highlight w:val="none"/>
              </w:rPr>
              <w:t>分；应急抢修服务方案大部分结合实际，较具体，有一定的针对性，得</w:t>
            </w:r>
            <w:r>
              <w:rPr>
                <w:rFonts w:hint="eastAsia"/>
                <w:highlight w:val="none"/>
                <w:lang w:val="en-US" w:eastAsia="zh-CN"/>
              </w:rPr>
              <w:t>2</w:t>
            </w:r>
            <w:r>
              <w:rPr>
                <w:highlight w:val="none"/>
              </w:rPr>
              <w:t>分； 应急抢修服务方案小部分结合实际，不够具体，针对性较差，得1分； 没有提供不得分。</w:t>
            </w:r>
          </w:p>
        </w:tc>
      </w:tr>
      <w:tr w14:paraId="5AFDC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603C8010"/>
        </w:tc>
        <w:tc>
          <w:tcPr>
            <w:tcW w:w="3177" w:type="dxa"/>
          </w:tcPr>
          <w:p w14:paraId="557F414D">
            <w:pPr>
              <w:pStyle w:val="16"/>
              <w:jc w:val="left"/>
            </w:pPr>
            <w:r>
              <w:t>服务响应方案 (6.0分)</w:t>
            </w:r>
          </w:p>
        </w:tc>
        <w:tc>
          <w:tcPr>
            <w:tcW w:w="4512" w:type="dxa"/>
          </w:tcPr>
          <w:p w14:paraId="0B29A675">
            <w:pPr>
              <w:pStyle w:val="16"/>
              <w:jc w:val="left"/>
            </w:pPr>
            <w:r>
              <w:t>对各投标人提供的服务响应（含服务响应时间、处理问题能力等）方案进行评审。</w:t>
            </w:r>
            <w:r>
              <w:rPr>
                <w:rFonts w:hint="eastAsia"/>
                <w:lang w:val="en-US" w:eastAsia="zh-CN"/>
              </w:rPr>
              <w:t>提供得6分，不提供不得分</w:t>
            </w:r>
            <w:r>
              <w:t>。</w:t>
            </w:r>
          </w:p>
        </w:tc>
      </w:tr>
      <w:tr w14:paraId="3F04B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51" w:hRule="atLeast"/>
        </w:trPr>
        <w:tc>
          <w:tcPr>
            <w:tcW w:w="833" w:type="dxa"/>
            <w:vMerge w:val="continue"/>
          </w:tcPr>
          <w:p w14:paraId="02AF1429"/>
        </w:tc>
        <w:tc>
          <w:tcPr>
            <w:tcW w:w="3177" w:type="dxa"/>
          </w:tcPr>
          <w:p w14:paraId="11EC265E">
            <w:pPr>
              <w:pStyle w:val="16"/>
              <w:jc w:val="left"/>
            </w:pPr>
            <w:r>
              <w:t>管理方式 (8.0分)，</w:t>
            </w:r>
          </w:p>
        </w:tc>
        <w:tc>
          <w:tcPr>
            <w:tcW w:w="4512" w:type="dxa"/>
          </w:tcPr>
          <w:p w14:paraId="4BA9C194">
            <w:pPr>
              <w:pStyle w:val="16"/>
              <w:jc w:val="left"/>
            </w:pPr>
            <w:r>
              <w:t>对投标人使用设备运维信息化管理模式对项目管理进行评审： 1、使用设备运维信息化管理系统的得3分，投标人需提供信息化管理系统自行开发或合作开发或购买合同的相关证明文件，不提供不得分。 2、使用设备运维信息化管理系统，具备不少于以下5项功能：（1）维修管理功能（2）巡检管理功能（3）设备管理功能（4）保养管理功能（5）移动客户端登录查看巡查维保维修功能。注：投标文件中须提供投标人设备运维信息化管理系统的功能截图（截图中须包含以上5项功能）并加盖使用单位公章和对应委托合同关键页复印件并加盖投标人公章，每提供一个得1分，本项最高得5分。没有提供或提供的内容不全不得分。</w:t>
            </w:r>
          </w:p>
        </w:tc>
      </w:tr>
      <w:tr w14:paraId="5F02B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restart"/>
          </w:tcPr>
          <w:p w14:paraId="48474B00">
            <w:pPr>
              <w:pStyle w:val="16"/>
              <w:jc w:val="center"/>
            </w:pPr>
            <w:r>
              <w:t>商</w:t>
            </w:r>
          </w:p>
          <w:p w14:paraId="1094D3F7">
            <w:pPr>
              <w:pStyle w:val="16"/>
              <w:jc w:val="center"/>
            </w:pPr>
            <w:r>
              <w:t>务</w:t>
            </w:r>
          </w:p>
          <w:p w14:paraId="579481F6">
            <w:pPr>
              <w:pStyle w:val="16"/>
              <w:jc w:val="center"/>
            </w:pPr>
            <w:r>
              <w:t>部</w:t>
            </w:r>
          </w:p>
          <w:p w14:paraId="3EB25965">
            <w:pPr>
              <w:pStyle w:val="16"/>
              <w:jc w:val="center"/>
            </w:pPr>
            <w:r>
              <w:t>分</w:t>
            </w:r>
          </w:p>
        </w:tc>
        <w:tc>
          <w:tcPr>
            <w:tcW w:w="3177" w:type="dxa"/>
          </w:tcPr>
          <w:p w14:paraId="65127B57">
            <w:pPr>
              <w:pStyle w:val="16"/>
              <w:jc w:val="left"/>
              <w:rPr>
                <w:highlight w:val="none"/>
              </w:rPr>
            </w:pPr>
            <w:r>
              <w:rPr>
                <w:highlight w:val="none"/>
              </w:rPr>
              <w:t>项目负责人 (</w:t>
            </w:r>
            <w:r>
              <w:rPr>
                <w:rFonts w:hint="eastAsia"/>
                <w:highlight w:val="none"/>
                <w:lang w:val="en-US" w:eastAsia="zh-CN"/>
              </w:rPr>
              <w:t>11</w:t>
            </w:r>
            <w:r>
              <w:rPr>
                <w:highlight w:val="none"/>
              </w:rPr>
              <w:t>.0分)</w:t>
            </w:r>
          </w:p>
        </w:tc>
        <w:tc>
          <w:tcPr>
            <w:tcW w:w="4512" w:type="dxa"/>
          </w:tcPr>
          <w:p w14:paraId="3803E673">
            <w:pPr>
              <w:pStyle w:val="16"/>
              <w:jc w:val="left"/>
              <w:rPr>
                <w:highlight w:val="none"/>
              </w:rPr>
            </w:pPr>
            <w:r>
              <w:rPr>
                <w:highlight w:val="none"/>
              </w:rPr>
              <w:t>拟投入本项目的项目负责人（同1人）具备以下资格证书： 1、拟投入本项目的项目负责人具有政府相关职能部门颁发的机电安装类助理工程师职称证书，得</w:t>
            </w:r>
            <w:r>
              <w:rPr>
                <w:rFonts w:hint="eastAsia"/>
                <w:highlight w:val="none"/>
                <w:lang w:val="en-US" w:eastAsia="zh-CN"/>
              </w:rPr>
              <w:t>1</w:t>
            </w:r>
            <w:r>
              <w:rPr>
                <w:highlight w:val="none"/>
              </w:rPr>
              <w:t>分；具有政府相关职能部门颁发的机电安装类中级工程师职称证书，得</w:t>
            </w:r>
            <w:r>
              <w:rPr>
                <w:rFonts w:hint="eastAsia"/>
                <w:highlight w:val="none"/>
                <w:lang w:val="en-US" w:eastAsia="zh-CN"/>
              </w:rPr>
              <w:t>2</w:t>
            </w:r>
            <w:r>
              <w:rPr>
                <w:highlight w:val="none"/>
              </w:rPr>
              <w:t>分；具有政府相关职能部门颁发的机电安装类高级工程师职称证书，得</w:t>
            </w:r>
            <w:r>
              <w:rPr>
                <w:rFonts w:hint="eastAsia"/>
                <w:highlight w:val="none"/>
                <w:lang w:val="en-US" w:eastAsia="zh-CN"/>
              </w:rPr>
              <w:t>3</w:t>
            </w:r>
            <w:r>
              <w:rPr>
                <w:highlight w:val="none"/>
              </w:rPr>
              <w:t>分，本项最高得</w:t>
            </w:r>
            <w:r>
              <w:rPr>
                <w:rFonts w:hint="eastAsia"/>
                <w:highlight w:val="none"/>
                <w:lang w:val="en-US" w:eastAsia="zh-CN"/>
              </w:rPr>
              <w:t>3</w:t>
            </w:r>
            <w:r>
              <w:rPr>
                <w:highlight w:val="none"/>
              </w:rPr>
              <w:t>分。 2、拟投入本项目的项目负责人具有政府相关职能部门颁发的机电工程专业一级注册建造师证书，得</w:t>
            </w:r>
            <w:r>
              <w:rPr>
                <w:rFonts w:hint="eastAsia"/>
                <w:highlight w:val="none"/>
                <w:lang w:val="en-US" w:eastAsia="zh-CN"/>
              </w:rPr>
              <w:t>5</w:t>
            </w:r>
            <w:r>
              <w:rPr>
                <w:highlight w:val="none"/>
              </w:rPr>
              <w:t>分。 3、拟投入本项目的项目负责人具有政府相关职能部门颁发的中华人民共和国特种作业操作证高压电工作业证，得</w:t>
            </w:r>
            <w:r>
              <w:rPr>
                <w:rFonts w:hint="eastAsia"/>
                <w:highlight w:val="none"/>
                <w:lang w:val="en-US" w:eastAsia="zh-CN"/>
              </w:rPr>
              <w:t>3</w:t>
            </w:r>
            <w:r>
              <w:rPr>
                <w:highlight w:val="none"/>
              </w:rPr>
              <w:t>分。 （注：①提供上述相关人员资质（或者资格）证书复印件并加盖公章；②提供近半年任意1个月投标供应商为其购买的社保证明复印件并加盖公章，若投标供应商未能提供人员社保的，可以在投标文件中提供相关承诺（承诺原件须盖公章，格式自行编制，承诺书内容包括但不限于以下内容：若我单位中标，合同签订前保证按招标文件中所配备投入本项目的人员全部到位并提供所有人员的社保证明或劳务合同，否则视为我单位放弃中标资格），视为满足社保评审要求。③无提供上述资料则不得分。④如投标供应商所提供的项目负责人非同1人的证书，只计算本项评审标准第“1、”小项的得分。</w:t>
            </w:r>
          </w:p>
        </w:tc>
      </w:tr>
      <w:tr w14:paraId="6BC61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43DF33E1"/>
        </w:tc>
        <w:tc>
          <w:tcPr>
            <w:tcW w:w="3177" w:type="dxa"/>
          </w:tcPr>
          <w:p w14:paraId="7F2D8752">
            <w:pPr>
              <w:pStyle w:val="16"/>
              <w:jc w:val="left"/>
            </w:pPr>
            <w:r>
              <w:t>技术人员 (19.0分)</w:t>
            </w:r>
          </w:p>
        </w:tc>
        <w:tc>
          <w:tcPr>
            <w:tcW w:w="4512" w:type="dxa"/>
          </w:tcPr>
          <w:p w14:paraId="22719985">
            <w:pPr>
              <w:pStyle w:val="16"/>
              <w:jc w:val="left"/>
            </w:pPr>
            <w:r>
              <w:t>1、拟投入本项目的驻场主管（副主管）同时具有政府相关职能部门颁发的助理级工程师及以上职称和中华人民共和国特种作业操作证高压（或低压）电工作业证的，每人得2分，本项最高得4分； 2、拟投入本项目的维护保养技工具有政府相关职能部门颁发的中华人民共和国特种作业操作证低压电工作业证，每人得0.5分，本项最高得2分。 3、拟投入本项目的维护保养技工具有政府相关职能部门颁发的维修电工四级或以下职业资格证书，每人得0.5分；具有政府相关职能部门颁发的维修电工三级职业资格证书，每人得1分；具有政府相关职能部门颁发的维修电工二级或以上职业资格证书，每人得1.5分，本项最高得3分； 4、拟投入本项目的维护保养技工具有政府相关职能部门颁发的中华人民共和国特种设备安全管理和作业人员证（含A证或T证），每个证书得0.5分，本项最高得4分。 5、拟投入本项目的维护保养技工具有政府相关职能部门颁发的中华人民共和国特种作业操作证高压电工作业证，每个证书得0.5分，本项最高得6分。 （注：①提供上述相关人员资质（或者资格）证书复印件并加盖公章；②提供近半年任意1个月投标供应商为其购买的社保证明复印件并加盖公章，若投标供应商未能提供人员社保的，可以在投标文件中提供相关承诺（承诺原件须盖公章，格式自行编制，承诺书内容包括但不限于以下内容：若我单位中标，合同签订前保证按招标文件中所配备投入本项目的人员全部到位并提供所有人员的社保证明或劳务合同，否则视为我单位放弃中标资格），视为满足社保评审要求。③无提供上述资料则不得分。）</w:t>
            </w:r>
          </w:p>
        </w:tc>
      </w:tr>
      <w:tr w14:paraId="1DEA9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51C8B2B5"/>
        </w:tc>
        <w:tc>
          <w:tcPr>
            <w:tcW w:w="3177" w:type="dxa"/>
          </w:tcPr>
          <w:p w14:paraId="28DF1690">
            <w:pPr>
              <w:pStyle w:val="16"/>
              <w:jc w:val="left"/>
            </w:pPr>
            <w:r>
              <w:t>企业实力 (3.0分)</w:t>
            </w:r>
          </w:p>
        </w:tc>
        <w:tc>
          <w:tcPr>
            <w:tcW w:w="4512" w:type="dxa"/>
          </w:tcPr>
          <w:p w14:paraId="50336355">
            <w:pPr>
              <w:pStyle w:val="16"/>
              <w:jc w:val="left"/>
            </w:pPr>
            <w:r>
              <w:t>投标人具有“质量管理体系认证”、“环境管理体系认证”、“职业健康安全管理体系”每提供一个得1分，最高得分为3分。 备注：提供证书复印件和相关证书在全国认证认可信息公共服务平台（网站：http://cx.cnca.cn/）查询结果 的截图,不提供不得分。</w:t>
            </w:r>
          </w:p>
        </w:tc>
      </w:tr>
      <w:tr w14:paraId="4A219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vMerge w:val="continue"/>
          </w:tcPr>
          <w:p w14:paraId="368A333C"/>
        </w:tc>
        <w:tc>
          <w:tcPr>
            <w:tcW w:w="3177" w:type="dxa"/>
          </w:tcPr>
          <w:p w14:paraId="1B4D2D18">
            <w:pPr>
              <w:pStyle w:val="16"/>
              <w:jc w:val="left"/>
              <w:rPr>
                <w:highlight w:val="none"/>
              </w:rPr>
            </w:pPr>
            <w:r>
              <w:rPr>
                <w:highlight w:val="none"/>
              </w:rPr>
              <w:t>业绩 (</w:t>
            </w:r>
            <w:r>
              <w:rPr>
                <w:rFonts w:hint="eastAsia"/>
                <w:highlight w:val="none"/>
                <w:lang w:val="en-US" w:eastAsia="zh-CN"/>
              </w:rPr>
              <w:t>16</w:t>
            </w:r>
            <w:r>
              <w:rPr>
                <w:highlight w:val="none"/>
              </w:rPr>
              <w:t>.0分)</w:t>
            </w:r>
          </w:p>
        </w:tc>
        <w:tc>
          <w:tcPr>
            <w:tcW w:w="4512" w:type="dxa"/>
          </w:tcPr>
          <w:p w14:paraId="142DF652">
            <w:pPr>
              <w:pStyle w:val="16"/>
              <w:jc w:val="left"/>
              <w:rPr>
                <w:highlight w:val="none"/>
              </w:rPr>
            </w:pPr>
            <w:r>
              <w:rPr>
                <w:highlight w:val="none"/>
              </w:rPr>
              <w:t>投标人自2021年以来承接的同类项目业绩（内容包含高压电房及配电房维保），每份业绩得</w:t>
            </w:r>
            <w:r>
              <w:rPr>
                <w:rFonts w:hint="eastAsia"/>
                <w:highlight w:val="none"/>
                <w:lang w:val="en-US" w:eastAsia="zh-CN"/>
              </w:rPr>
              <w:t>4</w:t>
            </w:r>
            <w:r>
              <w:rPr>
                <w:highlight w:val="none"/>
              </w:rPr>
              <w:t>分，满分</w:t>
            </w:r>
            <w:r>
              <w:rPr>
                <w:rFonts w:hint="eastAsia"/>
                <w:highlight w:val="none"/>
                <w:lang w:val="en-US" w:eastAsia="zh-CN"/>
              </w:rPr>
              <w:t>16</w:t>
            </w:r>
            <w:r>
              <w:rPr>
                <w:highlight w:val="none"/>
              </w:rPr>
              <w:t>分。（注：①投标文件需提供委托合同/协议书复印件并加盖公章，业绩时间以合同签订时间为准，未按要求提供不得分；②同一用户单位的不同年份的业绩只按一份有效业绩计算）</w:t>
            </w:r>
          </w:p>
        </w:tc>
      </w:tr>
      <w:tr w14:paraId="6E59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dxa"/>
          </w:tcPr>
          <w:p w14:paraId="6272A1B9">
            <w:pPr>
              <w:pStyle w:val="16"/>
              <w:jc w:val="center"/>
            </w:pPr>
            <w:r>
              <w:t>投</w:t>
            </w:r>
          </w:p>
          <w:p w14:paraId="296A82A5">
            <w:pPr>
              <w:pStyle w:val="16"/>
              <w:jc w:val="center"/>
            </w:pPr>
            <w:r>
              <w:t>标</w:t>
            </w:r>
          </w:p>
          <w:p w14:paraId="31AC71A0">
            <w:pPr>
              <w:pStyle w:val="16"/>
              <w:jc w:val="center"/>
            </w:pPr>
            <w:r>
              <w:t>报</w:t>
            </w:r>
          </w:p>
          <w:p w14:paraId="6C08FE58">
            <w:pPr>
              <w:pStyle w:val="16"/>
              <w:jc w:val="center"/>
            </w:pPr>
            <w:r>
              <w:t>价</w:t>
            </w:r>
          </w:p>
        </w:tc>
        <w:tc>
          <w:tcPr>
            <w:tcW w:w="3177" w:type="dxa"/>
          </w:tcPr>
          <w:p w14:paraId="5FBD7D28">
            <w:pPr>
              <w:pStyle w:val="16"/>
              <w:jc w:val="left"/>
            </w:pPr>
            <w:r>
              <w:t>投标报价得分 (10.0分)</w:t>
            </w:r>
          </w:p>
        </w:tc>
        <w:tc>
          <w:tcPr>
            <w:tcW w:w="4512" w:type="dxa"/>
          </w:tcPr>
          <w:p w14:paraId="54E15D82">
            <w:pPr>
              <w:pStyle w:val="16"/>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CF2936D">
      <w:pPr>
        <w:pStyle w:val="16"/>
        <w:jc w:val="left"/>
        <w:outlineLvl w:val="1"/>
        <w:rPr>
          <w:rFonts w:hint="eastAsia"/>
          <w:b/>
          <w:sz w:val="24"/>
          <w:szCs w:val="24"/>
          <w:lang w:eastAsia="zh-CN"/>
        </w:rPr>
      </w:pPr>
    </w:p>
    <w:p w14:paraId="0A4C9FE7">
      <w:pPr>
        <w:pStyle w:val="16"/>
        <w:jc w:val="left"/>
        <w:outlineLvl w:val="1"/>
        <w:rPr>
          <w:rFonts w:hint="eastAsia"/>
          <w:b/>
          <w:sz w:val="24"/>
          <w:szCs w:val="24"/>
          <w:lang w:eastAsia="zh-CN"/>
        </w:rPr>
      </w:pPr>
    </w:p>
    <w:p w14:paraId="3A313CAE">
      <w:pPr>
        <w:pStyle w:val="16"/>
        <w:jc w:val="left"/>
        <w:outlineLvl w:val="1"/>
        <w:rPr>
          <w:rFonts w:hint="eastAsia"/>
          <w:b/>
          <w:sz w:val="24"/>
          <w:szCs w:val="24"/>
          <w:lang w:eastAsia="zh-CN"/>
        </w:rPr>
      </w:pPr>
    </w:p>
    <w:p w14:paraId="5CFA857D">
      <w:pPr>
        <w:pStyle w:val="16"/>
        <w:jc w:val="left"/>
        <w:outlineLvl w:val="1"/>
      </w:pPr>
      <w:r>
        <w:rPr>
          <w:rFonts w:hint="eastAsia"/>
          <w:b/>
          <w:sz w:val="24"/>
          <w:szCs w:val="24"/>
          <w:lang w:eastAsia="zh-CN"/>
        </w:rPr>
        <w:t>二。</w:t>
      </w:r>
      <w:r>
        <w:rPr>
          <w:b/>
          <w:sz w:val="24"/>
          <w:szCs w:val="24"/>
        </w:rPr>
        <w:t>采购需求</w:t>
      </w:r>
    </w:p>
    <w:p w14:paraId="406F6A81">
      <w:pPr>
        <w:pStyle w:val="16"/>
        <w:outlineLvl w:val="2"/>
        <w:rPr>
          <w:sz w:val="21"/>
          <w:szCs w:val="21"/>
        </w:rPr>
      </w:pPr>
      <w:r>
        <w:rPr>
          <w:b/>
          <w:sz w:val="21"/>
          <w:szCs w:val="21"/>
        </w:rPr>
        <w:t>项目概况：</w:t>
      </w:r>
    </w:p>
    <w:p w14:paraId="18E113F6">
      <w:pPr>
        <w:pStyle w:val="16"/>
        <w:spacing w:line="360" w:lineRule="auto"/>
        <w:rPr>
          <w:sz w:val="21"/>
          <w:szCs w:val="21"/>
          <w:highlight w:val="none"/>
        </w:rPr>
      </w:pPr>
      <w:r>
        <w:rPr>
          <w:sz w:val="21"/>
          <w:szCs w:val="21"/>
        </w:rPr>
        <w:t>1.项目名称：</w:t>
      </w:r>
      <w:r>
        <w:rPr>
          <w:rFonts w:hint="eastAsia"/>
          <w:sz w:val="21"/>
          <w:szCs w:val="21"/>
          <w:highlight w:val="none"/>
          <w:lang w:val="en-US" w:eastAsia="zh-CN"/>
        </w:rPr>
        <w:t>贵州航天医院供配电室运维值守维保服务项目</w:t>
      </w:r>
    </w:p>
    <w:p w14:paraId="1C5D16D6">
      <w:pPr>
        <w:pStyle w:val="16"/>
        <w:spacing w:line="360" w:lineRule="auto"/>
        <w:jc w:val="both"/>
        <w:rPr>
          <w:sz w:val="21"/>
          <w:szCs w:val="21"/>
          <w:highlight w:val="none"/>
        </w:rPr>
      </w:pPr>
      <w:r>
        <w:rPr>
          <w:sz w:val="21"/>
          <w:szCs w:val="21"/>
          <w:highlight w:val="none"/>
        </w:rPr>
        <w:t>2.预算金额：</w:t>
      </w:r>
      <w:r>
        <w:rPr>
          <w:rFonts w:hint="eastAsia"/>
          <w:sz w:val="21"/>
          <w:szCs w:val="21"/>
          <w:highlight w:val="none"/>
          <w:lang w:eastAsia="zh-CN"/>
        </w:rPr>
        <w:t>不高于</w:t>
      </w:r>
      <w:r>
        <w:rPr>
          <w:rFonts w:hint="eastAsia"/>
          <w:sz w:val="21"/>
          <w:szCs w:val="21"/>
          <w:highlight w:val="none"/>
          <w:lang w:val="en-US" w:eastAsia="zh-CN"/>
        </w:rPr>
        <w:t>250000</w:t>
      </w:r>
      <w:r>
        <w:rPr>
          <w:sz w:val="21"/>
          <w:szCs w:val="21"/>
          <w:highlight w:val="none"/>
        </w:rPr>
        <w:t>元，服务期：</w:t>
      </w:r>
      <w:r>
        <w:rPr>
          <w:rFonts w:hint="eastAsia"/>
          <w:sz w:val="21"/>
          <w:szCs w:val="21"/>
          <w:highlight w:val="none"/>
          <w:lang w:val="en-US" w:eastAsia="zh-CN"/>
        </w:rPr>
        <w:t>1</w:t>
      </w:r>
      <w:r>
        <w:rPr>
          <w:sz w:val="21"/>
          <w:szCs w:val="21"/>
          <w:highlight w:val="none"/>
        </w:rPr>
        <w:t>年</w:t>
      </w:r>
    </w:p>
    <w:p w14:paraId="1491DCFE">
      <w:pPr>
        <w:pStyle w:val="16"/>
        <w:spacing w:line="360" w:lineRule="auto"/>
        <w:jc w:val="both"/>
        <w:rPr>
          <w:rFonts w:hint="eastAsia"/>
          <w:sz w:val="21"/>
          <w:szCs w:val="21"/>
          <w:highlight w:val="none"/>
          <w:lang w:val="en-US" w:eastAsia="zh-CN"/>
        </w:rPr>
      </w:pPr>
      <w:r>
        <w:rPr>
          <w:sz w:val="21"/>
          <w:szCs w:val="21"/>
          <w:highlight w:val="none"/>
        </w:rPr>
        <w:t>3.服务地点：</w:t>
      </w:r>
      <w:r>
        <w:rPr>
          <w:rFonts w:hint="eastAsia"/>
          <w:sz w:val="21"/>
          <w:szCs w:val="21"/>
          <w:highlight w:val="none"/>
          <w:lang w:val="en-US" w:eastAsia="zh-CN"/>
        </w:rPr>
        <w:t>贵州省遵义市汇川区大连路贵州航天医院</w:t>
      </w:r>
    </w:p>
    <w:p w14:paraId="688C27EA">
      <w:pPr>
        <w:pStyle w:val="16"/>
        <w:spacing w:line="360" w:lineRule="auto"/>
        <w:jc w:val="both"/>
        <w:rPr>
          <w:sz w:val="21"/>
          <w:szCs w:val="21"/>
        </w:rPr>
      </w:pPr>
      <w:r>
        <w:rPr>
          <w:sz w:val="21"/>
          <w:szCs w:val="21"/>
        </w:rPr>
        <w:t>4.服务商不得以任何方式转包或分包本项目，否则被视为违约，服务商需承担相应的经济和法律责任。</w:t>
      </w:r>
    </w:p>
    <w:p w14:paraId="641E2C8D">
      <w:pPr>
        <w:pStyle w:val="16"/>
        <w:spacing w:line="360" w:lineRule="auto"/>
        <w:jc w:val="both"/>
        <w:rPr>
          <w:sz w:val="21"/>
          <w:szCs w:val="21"/>
        </w:rPr>
      </w:pPr>
      <w:r>
        <w:rPr>
          <w:sz w:val="21"/>
          <w:szCs w:val="21"/>
        </w:rPr>
        <w:t>5.服务商需派遣具备相关资格证书的人员提供维保服务，并为其购买足额的人身意外保险。在维保期内，如果发生任何人员人身意外或责任事故，服务商负责全部法律和经济赔偿责任，院方不负任何责任。</w:t>
      </w:r>
    </w:p>
    <w:p w14:paraId="1BE74B03">
      <w:pPr>
        <w:pStyle w:val="16"/>
        <w:spacing w:line="360" w:lineRule="auto"/>
        <w:jc w:val="both"/>
        <w:rPr>
          <w:sz w:val="21"/>
          <w:szCs w:val="21"/>
        </w:rPr>
      </w:pPr>
      <w:r>
        <w:rPr>
          <w:sz w:val="21"/>
          <w:szCs w:val="21"/>
        </w:rPr>
        <w:t>6.项目维保所需材料、设备由院方负责，但由于服务商在服务过程中造成的二次损坏或施工质量问题引起重修的，材料费由服务商负责。</w:t>
      </w:r>
    </w:p>
    <w:p w14:paraId="5910D2E6">
      <w:pPr>
        <w:pStyle w:val="16"/>
        <w:spacing w:line="360" w:lineRule="auto"/>
        <w:jc w:val="both"/>
        <w:rPr>
          <w:sz w:val="21"/>
          <w:szCs w:val="21"/>
        </w:rPr>
      </w:pPr>
      <w:r>
        <w:rPr>
          <w:sz w:val="21"/>
          <w:szCs w:val="21"/>
        </w:rPr>
        <w:t>7.维保期内，如果服务范围、建筑面积如有增减变动，建筑面积3％范围以内的，合同价格不作增减，服务商需无条件承担医院及分支机构增加范围内的维保工作，如超过上述范围，双方再另行核定所增加或减少的费用。</w:t>
      </w:r>
    </w:p>
    <w:p w14:paraId="1EC79ECB">
      <w:pPr>
        <w:pStyle w:val="16"/>
        <w:spacing w:line="360" w:lineRule="auto"/>
        <w:jc w:val="both"/>
        <w:rPr>
          <w:sz w:val="21"/>
          <w:szCs w:val="21"/>
        </w:rPr>
      </w:pPr>
      <w:r>
        <w:rPr>
          <w:sz w:val="21"/>
          <w:szCs w:val="21"/>
        </w:rPr>
        <w:t>8.费用包含其在为完成合同所产生的一切预见和不可预见的费用，包含但不限于人员工资、福利、服装、通信工具、交通工具、社保、医疗、待业保障、工伤保险、各节假日和特殊工作任务加班费、完成工作所须的设备、工具、合理利润、相关税费等。院方不再支付其它费用。</w:t>
      </w:r>
    </w:p>
    <w:p w14:paraId="06F08C9A">
      <w:pPr>
        <w:pStyle w:val="16"/>
        <w:rPr>
          <w:sz w:val="21"/>
          <w:szCs w:val="21"/>
        </w:rPr>
      </w:pPr>
      <w:r>
        <w:rPr>
          <w:b/>
          <w:sz w:val="21"/>
          <w:szCs w:val="21"/>
        </w:rPr>
        <w:t>1.主要商务要求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D924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615EFA">
            <w:pPr>
              <w:pStyle w:val="16"/>
              <w:spacing w:line="360" w:lineRule="auto"/>
              <w:rPr>
                <w:sz w:val="21"/>
                <w:szCs w:val="21"/>
              </w:rPr>
            </w:pPr>
            <w:r>
              <w:rPr>
                <w:sz w:val="21"/>
                <w:szCs w:val="21"/>
              </w:rPr>
              <w:t>标的提供的时间</w:t>
            </w:r>
          </w:p>
        </w:tc>
        <w:tc>
          <w:tcPr>
            <w:tcW w:w="4153" w:type="dxa"/>
          </w:tcPr>
          <w:p w14:paraId="2C5C4436">
            <w:pPr>
              <w:pStyle w:val="16"/>
              <w:spacing w:line="360" w:lineRule="auto"/>
              <w:rPr>
                <w:sz w:val="21"/>
                <w:szCs w:val="21"/>
                <w:highlight w:val="none"/>
              </w:rPr>
            </w:pPr>
            <w:r>
              <w:rPr>
                <w:sz w:val="21"/>
                <w:szCs w:val="21"/>
                <w:highlight w:val="none"/>
              </w:rPr>
              <w:t>自签订合同之日起</w:t>
            </w:r>
            <w:r>
              <w:rPr>
                <w:rFonts w:hint="eastAsia"/>
                <w:sz w:val="21"/>
                <w:szCs w:val="21"/>
                <w:highlight w:val="none"/>
                <w:lang w:val="en-US" w:eastAsia="zh-CN"/>
              </w:rPr>
              <w:t>1</w:t>
            </w:r>
            <w:r>
              <w:rPr>
                <w:sz w:val="21"/>
                <w:szCs w:val="21"/>
                <w:highlight w:val="none"/>
              </w:rPr>
              <w:t>年</w:t>
            </w:r>
          </w:p>
        </w:tc>
      </w:tr>
      <w:tr w14:paraId="1889C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C449D8">
            <w:pPr>
              <w:pStyle w:val="16"/>
              <w:spacing w:line="360" w:lineRule="auto"/>
              <w:rPr>
                <w:sz w:val="21"/>
                <w:szCs w:val="21"/>
              </w:rPr>
            </w:pPr>
            <w:r>
              <w:rPr>
                <w:sz w:val="21"/>
                <w:szCs w:val="21"/>
              </w:rPr>
              <w:t>标的提供的地点</w:t>
            </w:r>
          </w:p>
        </w:tc>
        <w:tc>
          <w:tcPr>
            <w:tcW w:w="4153" w:type="dxa"/>
          </w:tcPr>
          <w:p w14:paraId="49E9FFC5">
            <w:pPr>
              <w:pStyle w:val="16"/>
              <w:spacing w:line="360" w:lineRule="auto"/>
              <w:rPr>
                <w:sz w:val="21"/>
                <w:szCs w:val="21"/>
                <w:highlight w:val="none"/>
              </w:rPr>
            </w:pPr>
            <w:r>
              <w:rPr>
                <w:rFonts w:hint="eastAsia"/>
                <w:sz w:val="21"/>
                <w:szCs w:val="21"/>
                <w:highlight w:val="none"/>
                <w:lang w:val="en-US" w:eastAsia="zh-CN"/>
              </w:rPr>
              <w:t>贵州省遵义市汇川区大连路贵州航天医院</w:t>
            </w:r>
          </w:p>
        </w:tc>
      </w:tr>
      <w:tr w14:paraId="438D1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CD6868">
            <w:pPr>
              <w:pStyle w:val="16"/>
              <w:spacing w:line="360" w:lineRule="auto"/>
              <w:rPr>
                <w:sz w:val="21"/>
                <w:szCs w:val="21"/>
              </w:rPr>
            </w:pPr>
            <w:r>
              <w:rPr>
                <w:sz w:val="21"/>
                <w:szCs w:val="21"/>
              </w:rPr>
              <w:t>其他</w:t>
            </w:r>
          </w:p>
        </w:tc>
        <w:tc>
          <w:tcPr>
            <w:tcW w:w="4153" w:type="dxa"/>
          </w:tcPr>
          <w:p w14:paraId="1D6D84C8">
            <w:pPr>
              <w:pStyle w:val="16"/>
              <w:spacing w:line="360" w:lineRule="auto"/>
              <w:rPr>
                <w:sz w:val="21"/>
                <w:szCs w:val="21"/>
              </w:rPr>
            </w:pPr>
          </w:p>
        </w:tc>
      </w:tr>
    </w:tbl>
    <w:p w14:paraId="678E5C00">
      <w:pPr>
        <w:pStyle w:val="16"/>
        <w:rPr>
          <w:b/>
        </w:rPr>
      </w:pPr>
      <w:r>
        <w:rPr>
          <w:rFonts w:hint="eastAsia"/>
          <w:b/>
          <w:lang w:val="en-US" w:eastAsia="zh-CN"/>
        </w:rPr>
        <w:t>2.</w:t>
      </w:r>
      <w:r>
        <w:rPr>
          <w:b/>
        </w:rPr>
        <w:t>其他商务需求</w:t>
      </w:r>
    </w:p>
    <w:tbl>
      <w:tblPr>
        <w:tblStyle w:val="7"/>
        <w:tblW w:w="85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2"/>
      </w:tblGrid>
      <w:tr w14:paraId="73822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2" w:type="dxa"/>
          </w:tcPr>
          <w:p w14:paraId="59AA77FE">
            <w:pPr>
              <w:pStyle w:val="16"/>
              <w:jc w:val="center"/>
            </w:pPr>
            <w:r>
              <w:rPr>
                <w:highlight w:val="none"/>
              </w:rPr>
              <w:t>内容说明</w:t>
            </w:r>
          </w:p>
        </w:tc>
      </w:tr>
      <w:tr w14:paraId="06D0D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2" w:type="dxa"/>
          </w:tcPr>
          <w:p w14:paraId="7B41C244">
            <w:pPr>
              <w:pStyle w:val="16"/>
              <w:jc w:val="left"/>
            </w:pPr>
            <w:r>
              <w:t>1、发现供货商有以下行为，经调查属实的，采购人解除相关供应合同。 （1）弄虚作假，提供虚假材料取得中标供应资格的。 （2）中标供应项目有转包、分包行为的。 （3）经营情况发生重大变更，已经不具备承接中标供应项目能力的。 （4）无正当理由拒绝履行合同向采购人供货的。 （5）有行贿等不正当竞争行为的。 （6）有其他违法违纪行为的。 2、维保期内，如果服务范围、建筑面积如有增减变动，建筑面积3％范围以内的，合同价格不作增减，服务商需无条件承担医院及分支机构增加范围内的维保工作，如超过上述范围，双方再另行核定所增加或减少的费用。（须出具承诺函接受此条件）</w:t>
            </w:r>
          </w:p>
        </w:tc>
      </w:tr>
      <w:tr w14:paraId="09DD5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2" w:type="dxa"/>
          </w:tcPr>
          <w:p w14:paraId="41625A99">
            <w:pPr>
              <w:pStyle w:val="16"/>
            </w:pPr>
            <w:r>
              <w:t>说明</w:t>
            </w:r>
          </w:p>
          <w:p w14:paraId="28A988CD">
            <w:pPr>
              <w:pStyle w:val="16"/>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404515D6">
      <w:pPr>
        <w:pStyle w:val="16"/>
      </w:pPr>
      <w:r>
        <w:rPr>
          <w:b/>
        </w:rPr>
        <w:t>2.技术标准与要求</w:t>
      </w:r>
    </w:p>
    <w:tbl>
      <w:tblPr>
        <w:tblStyle w:val="7"/>
        <w:tblW w:w="85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085"/>
        <w:gridCol w:w="1065"/>
        <w:gridCol w:w="801"/>
        <w:gridCol w:w="933"/>
        <w:gridCol w:w="933"/>
        <w:gridCol w:w="850"/>
        <w:gridCol w:w="923"/>
        <w:gridCol w:w="1160"/>
      </w:tblGrid>
      <w:tr w14:paraId="5BA5E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041CC629">
            <w:pPr>
              <w:pStyle w:val="16"/>
              <w:jc w:val="center"/>
            </w:pPr>
            <w:r>
              <w:t>序号</w:t>
            </w:r>
          </w:p>
        </w:tc>
        <w:tc>
          <w:tcPr>
            <w:tcW w:w="1085" w:type="dxa"/>
          </w:tcPr>
          <w:p w14:paraId="4F7AB3ED">
            <w:pPr>
              <w:pStyle w:val="16"/>
              <w:jc w:val="center"/>
            </w:pPr>
            <w:r>
              <w:t>品目名称</w:t>
            </w:r>
          </w:p>
        </w:tc>
        <w:tc>
          <w:tcPr>
            <w:tcW w:w="1065" w:type="dxa"/>
          </w:tcPr>
          <w:p w14:paraId="33B0B636">
            <w:pPr>
              <w:pStyle w:val="16"/>
              <w:jc w:val="center"/>
            </w:pPr>
            <w:r>
              <w:t>标的名称</w:t>
            </w:r>
          </w:p>
        </w:tc>
        <w:tc>
          <w:tcPr>
            <w:tcW w:w="801" w:type="dxa"/>
          </w:tcPr>
          <w:p w14:paraId="5D4769E9">
            <w:pPr>
              <w:pStyle w:val="16"/>
              <w:jc w:val="center"/>
            </w:pPr>
            <w:r>
              <w:t>单位</w:t>
            </w:r>
          </w:p>
        </w:tc>
        <w:tc>
          <w:tcPr>
            <w:tcW w:w="933" w:type="dxa"/>
          </w:tcPr>
          <w:p w14:paraId="0FB2ADE2">
            <w:pPr>
              <w:pStyle w:val="16"/>
              <w:jc w:val="center"/>
            </w:pPr>
            <w:r>
              <w:t>数量</w:t>
            </w:r>
          </w:p>
        </w:tc>
        <w:tc>
          <w:tcPr>
            <w:tcW w:w="933" w:type="dxa"/>
          </w:tcPr>
          <w:p w14:paraId="6488BE4F">
            <w:pPr>
              <w:pStyle w:val="16"/>
              <w:jc w:val="center"/>
            </w:pPr>
            <w:r>
              <w:t>分项预算单价（元）</w:t>
            </w:r>
          </w:p>
        </w:tc>
        <w:tc>
          <w:tcPr>
            <w:tcW w:w="850" w:type="dxa"/>
          </w:tcPr>
          <w:p w14:paraId="3ECE8A41">
            <w:pPr>
              <w:pStyle w:val="16"/>
              <w:jc w:val="center"/>
            </w:pPr>
            <w:r>
              <w:t>分项预算总价（元）</w:t>
            </w:r>
          </w:p>
        </w:tc>
        <w:tc>
          <w:tcPr>
            <w:tcW w:w="923" w:type="dxa"/>
          </w:tcPr>
          <w:p w14:paraId="2EA44D75">
            <w:pPr>
              <w:pStyle w:val="16"/>
            </w:pPr>
            <w:r>
              <w:t>所属行业</w:t>
            </w:r>
          </w:p>
        </w:tc>
        <w:tc>
          <w:tcPr>
            <w:tcW w:w="1160" w:type="dxa"/>
          </w:tcPr>
          <w:p w14:paraId="7C3A7B9D">
            <w:pPr>
              <w:pStyle w:val="16"/>
              <w:jc w:val="center"/>
            </w:pPr>
            <w:r>
              <w:t>技术要求</w:t>
            </w:r>
          </w:p>
        </w:tc>
      </w:tr>
      <w:tr w14:paraId="443BB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3EE1940C">
            <w:pPr>
              <w:pStyle w:val="16"/>
              <w:jc w:val="center"/>
            </w:pPr>
            <w:r>
              <w:t>1</w:t>
            </w:r>
          </w:p>
        </w:tc>
        <w:tc>
          <w:tcPr>
            <w:tcW w:w="1085" w:type="dxa"/>
          </w:tcPr>
          <w:p w14:paraId="678AB0CC">
            <w:pPr>
              <w:pStyle w:val="16"/>
              <w:jc w:val="left"/>
            </w:pPr>
            <w:r>
              <w:t>维修和保养服务</w:t>
            </w:r>
          </w:p>
        </w:tc>
        <w:tc>
          <w:tcPr>
            <w:tcW w:w="1065" w:type="dxa"/>
          </w:tcPr>
          <w:p w14:paraId="5CBFA15C">
            <w:pPr>
              <w:pStyle w:val="16"/>
              <w:jc w:val="left"/>
            </w:pPr>
            <w:r>
              <w:t>供配电维保服务</w:t>
            </w:r>
          </w:p>
        </w:tc>
        <w:tc>
          <w:tcPr>
            <w:tcW w:w="801" w:type="dxa"/>
          </w:tcPr>
          <w:p w14:paraId="156A2D7A">
            <w:pPr>
              <w:pStyle w:val="16"/>
              <w:jc w:val="left"/>
            </w:pPr>
            <w:r>
              <w:t>项</w:t>
            </w:r>
          </w:p>
        </w:tc>
        <w:tc>
          <w:tcPr>
            <w:tcW w:w="933" w:type="dxa"/>
          </w:tcPr>
          <w:p w14:paraId="422E37F9">
            <w:pPr>
              <w:pStyle w:val="16"/>
              <w:jc w:val="right"/>
              <w:rPr>
                <w:highlight w:val="yellow"/>
              </w:rPr>
            </w:pPr>
          </w:p>
        </w:tc>
        <w:tc>
          <w:tcPr>
            <w:tcW w:w="933" w:type="dxa"/>
          </w:tcPr>
          <w:p w14:paraId="4A953E21">
            <w:pPr>
              <w:pStyle w:val="16"/>
              <w:jc w:val="right"/>
              <w:rPr>
                <w:highlight w:val="yellow"/>
              </w:rPr>
            </w:pPr>
          </w:p>
        </w:tc>
        <w:tc>
          <w:tcPr>
            <w:tcW w:w="850" w:type="dxa"/>
          </w:tcPr>
          <w:p w14:paraId="331F88C6">
            <w:pPr>
              <w:pStyle w:val="16"/>
              <w:jc w:val="right"/>
              <w:rPr>
                <w:highlight w:val="yellow"/>
              </w:rPr>
            </w:pPr>
          </w:p>
        </w:tc>
        <w:tc>
          <w:tcPr>
            <w:tcW w:w="923" w:type="dxa"/>
          </w:tcPr>
          <w:p w14:paraId="4B4B36B4">
            <w:pPr>
              <w:pStyle w:val="16"/>
            </w:pPr>
            <w:r>
              <w:t>其他未列明行业</w:t>
            </w:r>
          </w:p>
        </w:tc>
        <w:tc>
          <w:tcPr>
            <w:tcW w:w="1160" w:type="dxa"/>
          </w:tcPr>
          <w:p w14:paraId="42B911F0">
            <w:pPr>
              <w:pStyle w:val="16"/>
            </w:pPr>
          </w:p>
        </w:tc>
      </w:tr>
    </w:tbl>
    <w:p w14:paraId="5BA194A6">
      <w:pPr>
        <w:pStyle w:val="16"/>
      </w:pPr>
      <w:r>
        <w:rPr>
          <w:b/>
        </w:rPr>
        <w:t>附表一：供配电维保服务</w:t>
      </w:r>
    </w:p>
    <w:tbl>
      <w:tblPr>
        <w:tblStyle w:val="7"/>
        <w:tblW w:w="85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7747"/>
      </w:tblGrid>
      <w:tr w14:paraId="0C16A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784" w:type="dxa"/>
          </w:tcPr>
          <w:p w14:paraId="66D270B8">
            <w:pPr>
              <w:pStyle w:val="16"/>
            </w:pPr>
            <w:r>
              <w:t>序号</w:t>
            </w:r>
          </w:p>
        </w:tc>
        <w:tc>
          <w:tcPr>
            <w:tcW w:w="7747" w:type="dxa"/>
          </w:tcPr>
          <w:p w14:paraId="02A968AE">
            <w:pPr>
              <w:pStyle w:val="16"/>
            </w:pPr>
            <w:r>
              <w:t>具体技术(参数)要求</w:t>
            </w:r>
          </w:p>
        </w:tc>
      </w:tr>
      <w:tr w14:paraId="6DD11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05235CB6">
            <w:pPr>
              <w:pStyle w:val="16"/>
            </w:pPr>
            <w:r>
              <w:t>1</w:t>
            </w:r>
          </w:p>
        </w:tc>
        <w:tc>
          <w:tcPr>
            <w:tcW w:w="7747" w:type="dxa"/>
          </w:tcPr>
          <w:p w14:paraId="06A3387A">
            <w:pPr>
              <w:pStyle w:val="16"/>
              <w:ind w:left="-435" w:firstLine="482"/>
              <w:jc w:val="left"/>
              <w:rPr>
                <w:rFonts w:hint="eastAsia" w:eastAsiaTheme="minorEastAsia"/>
                <w:sz w:val="21"/>
                <w:szCs w:val="21"/>
                <w:lang w:eastAsia="zh-CN"/>
              </w:rPr>
            </w:pPr>
            <w:r>
              <w:rPr>
                <w:b/>
                <w:sz w:val="21"/>
                <w:szCs w:val="21"/>
              </w:rPr>
              <w:t>一、服务范围</w:t>
            </w:r>
            <w:r>
              <w:rPr>
                <w:rFonts w:hint="eastAsia"/>
                <w:b/>
                <w:sz w:val="21"/>
                <w:szCs w:val="21"/>
                <w:lang w:eastAsia="zh-CN"/>
              </w:rPr>
              <w:t>：</w:t>
            </w:r>
          </w:p>
          <w:p w14:paraId="62410FF7">
            <w:pPr>
              <w:pStyle w:val="16"/>
              <w:ind w:firstLine="480"/>
              <w:jc w:val="both"/>
              <w:rPr>
                <w:sz w:val="21"/>
                <w:szCs w:val="21"/>
                <w:highlight w:val="none"/>
              </w:rPr>
            </w:pPr>
            <w:r>
              <w:rPr>
                <w:sz w:val="21"/>
                <w:szCs w:val="21"/>
                <w:highlight w:val="none"/>
              </w:rPr>
              <w:t>1、10KV配电房的值班巡查、维护与管理</w:t>
            </w:r>
            <w:r>
              <w:rPr>
                <w:rFonts w:hint="eastAsia"/>
                <w:sz w:val="21"/>
                <w:szCs w:val="21"/>
                <w:highlight w:val="none"/>
                <w:lang w:eastAsia="zh-CN"/>
              </w:rPr>
              <w:t>，</w:t>
            </w:r>
            <w:r>
              <w:rPr>
                <w:sz w:val="21"/>
                <w:szCs w:val="21"/>
                <w:highlight w:val="none"/>
              </w:rPr>
              <w:t>具体</w:t>
            </w:r>
            <w:r>
              <w:rPr>
                <w:rFonts w:hint="eastAsia"/>
                <w:sz w:val="21"/>
                <w:szCs w:val="21"/>
                <w:highlight w:val="none"/>
                <w:lang w:val="en-US" w:eastAsia="zh-CN"/>
              </w:rPr>
              <w:t>站点分为：</w:t>
            </w:r>
          </w:p>
          <w:p w14:paraId="47CD5594">
            <w:pPr>
              <w:pStyle w:val="16"/>
              <w:jc w:val="both"/>
              <w:rPr>
                <w:sz w:val="21"/>
                <w:szCs w:val="21"/>
                <w:highlight w:val="none"/>
              </w:rPr>
            </w:pPr>
            <w:r>
              <w:rPr>
                <w:sz w:val="21"/>
                <w:szCs w:val="21"/>
                <w:highlight w:val="none"/>
              </w:rPr>
              <w:t>具体内容：日常巡查，各低压开关柜工作状况的巡视检查、维护、检修，变压器工作状况的巡视，配电房、开关柜的卫生清理，跳闸、停电后的供电恢复，市电停电后的发电、转电（注：此项内容不包括发电机组的维护保养）。</w:t>
            </w:r>
          </w:p>
          <w:p w14:paraId="720C7524">
            <w:pPr>
              <w:pStyle w:val="16"/>
              <w:ind w:firstLine="480"/>
              <w:jc w:val="both"/>
              <w:rPr>
                <w:sz w:val="21"/>
                <w:szCs w:val="21"/>
                <w:highlight w:val="none"/>
              </w:rPr>
            </w:pPr>
            <w:r>
              <w:rPr>
                <w:sz w:val="21"/>
                <w:szCs w:val="21"/>
                <w:highlight w:val="none"/>
              </w:rPr>
              <w:t>2、全院供、配电设备、供电线路、巡视检查、清洁、维护保养及更换。</w:t>
            </w:r>
          </w:p>
          <w:p w14:paraId="59EA1008">
            <w:pPr>
              <w:pStyle w:val="16"/>
              <w:ind w:firstLine="480"/>
              <w:jc w:val="both"/>
              <w:rPr>
                <w:rFonts w:hint="eastAsia"/>
                <w:sz w:val="21"/>
                <w:szCs w:val="21"/>
                <w:highlight w:val="none"/>
                <w:lang w:eastAsia="zh-CN"/>
              </w:rPr>
            </w:pPr>
            <w:r>
              <w:rPr>
                <w:sz w:val="21"/>
                <w:szCs w:val="21"/>
                <w:highlight w:val="none"/>
              </w:rPr>
              <w:t>具体内容：楼层开关柜、箱的巡视检查，卫生清理，开关工作状况的检查、维修更换</w:t>
            </w:r>
            <w:r>
              <w:rPr>
                <w:rFonts w:hint="eastAsia"/>
                <w:sz w:val="21"/>
                <w:szCs w:val="21"/>
                <w:highlight w:val="none"/>
                <w:lang w:eastAsia="zh-CN"/>
              </w:rPr>
              <w:t>。</w:t>
            </w:r>
          </w:p>
          <w:p w14:paraId="3D190D6D">
            <w:pPr>
              <w:pStyle w:val="16"/>
              <w:ind w:firstLine="480"/>
              <w:jc w:val="both"/>
              <w:rPr>
                <w:sz w:val="21"/>
                <w:szCs w:val="21"/>
                <w:highlight w:val="none"/>
              </w:rPr>
            </w:pPr>
            <w:r>
              <w:rPr>
                <w:rFonts w:hint="eastAsia"/>
                <w:sz w:val="21"/>
                <w:szCs w:val="21"/>
                <w:highlight w:val="none"/>
                <w:lang w:val="en-US" w:eastAsia="zh-CN"/>
              </w:rPr>
              <w:t>3</w:t>
            </w:r>
            <w:r>
              <w:rPr>
                <w:sz w:val="21"/>
                <w:szCs w:val="21"/>
                <w:highlight w:val="none"/>
              </w:rPr>
              <w:t>、按规定对全院供配电设备进行接地电阻检测。具体内容：全院范围内的配电房、楼层配电柜（箱）每年一次的接地电阻检测工作。</w:t>
            </w:r>
          </w:p>
          <w:p w14:paraId="312E3FD6">
            <w:pPr>
              <w:pStyle w:val="16"/>
              <w:ind w:firstLine="480"/>
              <w:jc w:val="both"/>
              <w:rPr>
                <w:sz w:val="21"/>
                <w:szCs w:val="21"/>
                <w:highlight w:val="none"/>
              </w:rPr>
            </w:pPr>
            <w:r>
              <w:rPr>
                <w:rFonts w:hint="eastAsia"/>
                <w:sz w:val="21"/>
                <w:szCs w:val="21"/>
                <w:highlight w:val="none"/>
                <w:lang w:val="en-US" w:eastAsia="zh-CN"/>
              </w:rPr>
              <w:t>4</w:t>
            </w:r>
            <w:r>
              <w:rPr>
                <w:sz w:val="21"/>
                <w:szCs w:val="21"/>
                <w:highlight w:val="none"/>
              </w:rPr>
              <w:t>、全院突发事件的应急用电工作，并提供24小时应急服务。</w:t>
            </w:r>
          </w:p>
          <w:p w14:paraId="08BDDE34">
            <w:pPr>
              <w:pStyle w:val="16"/>
              <w:ind w:firstLine="480"/>
              <w:jc w:val="both"/>
              <w:rPr>
                <w:sz w:val="21"/>
                <w:szCs w:val="21"/>
                <w:highlight w:val="none"/>
              </w:rPr>
            </w:pPr>
            <w:r>
              <w:rPr>
                <w:rFonts w:hint="eastAsia"/>
                <w:sz w:val="21"/>
                <w:szCs w:val="21"/>
                <w:highlight w:val="none"/>
                <w:lang w:val="en-US" w:eastAsia="zh-CN"/>
              </w:rPr>
              <w:t>5</w:t>
            </w:r>
            <w:r>
              <w:rPr>
                <w:sz w:val="21"/>
                <w:szCs w:val="21"/>
                <w:highlight w:val="none"/>
              </w:rPr>
              <w:t>、维护设备清单(见《附件：供电设备数量统计表》)。</w:t>
            </w:r>
          </w:p>
          <w:p w14:paraId="633F7C67">
            <w:pPr>
              <w:pStyle w:val="16"/>
              <w:jc w:val="both"/>
              <w:rPr>
                <w:rFonts w:hint="eastAsia"/>
                <w:b/>
                <w:sz w:val="21"/>
                <w:szCs w:val="21"/>
                <w:highlight w:val="none"/>
                <w:lang w:val="en-US" w:eastAsia="zh-CN"/>
              </w:rPr>
            </w:pPr>
          </w:p>
          <w:p w14:paraId="0F275C61">
            <w:pPr>
              <w:pStyle w:val="16"/>
              <w:spacing w:line="360" w:lineRule="auto"/>
              <w:jc w:val="both"/>
              <w:rPr>
                <w:sz w:val="21"/>
                <w:szCs w:val="21"/>
              </w:rPr>
            </w:pPr>
            <w:r>
              <w:rPr>
                <w:rFonts w:hint="eastAsia"/>
                <w:b/>
                <w:sz w:val="21"/>
                <w:szCs w:val="21"/>
                <w:lang w:val="en-US" w:eastAsia="zh-CN"/>
              </w:rPr>
              <w:t>二</w:t>
            </w:r>
            <w:r>
              <w:rPr>
                <w:b/>
                <w:sz w:val="21"/>
                <w:szCs w:val="21"/>
              </w:rPr>
              <w:t>、工作质量要求</w:t>
            </w:r>
          </w:p>
          <w:p w14:paraId="71FBFBFB">
            <w:pPr>
              <w:pStyle w:val="16"/>
              <w:spacing w:line="360" w:lineRule="auto"/>
              <w:ind w:firstLine="480"/>
              <w:jc w:val="both"/>
              <w:rPr>
                <w:sz w:val="21"/>
                <w:szCs w:val="21"/>
              </w:rPr>
            </w:pPr>
            <w:r>
              <w:rPr>
                <w:sz w:val="21"/>
                <w:szCs w:val="21"/>
              </w:rPr>
              <w:t>1、服务商须按招标文件和国家有关法律法规的相关规定提供供配电维护保养服务，包括但不限于提供每天应急抢修、维修、维护、保养及故障受理、驻场值班、每日定时巡查服务。</w:t>
            </w:r>
          </w:p>
          <w:p w14:paraId="7B13E2A3">
            <w:pPr>
              <w:pStyle w:val="16"/>
              <w:spacing w:line="360" w:lineRule="auto"/>
              <w:ind w:firstLine="480"/>
              <w:jc w:val="both"/>
              <w:rPr>
                <w:sz w:val="21"/>
                <w:szCs w:val="21"/>
              </w:rPr>
            </w:pPr>
            <w:r>
              <w:rPr>
                <w:sz w:val="21"/>
                <w:szCs w:val="21"/>
              </w:rPr>
              <w:t>2、供配电维护保养工作质量应符合国家和地方相关行业规定。供配电维护保养工作质量须符合院方供配电使用、维修保养的规章制度。</w:t>
            </w:r>
          </w:p>
          <w:p w14:paraId="3FFEB7F3">
            <w:pPr>
              <w:pStyle w:val="16"/>
              <w:spacing w:line="360" w:lineRule="auto"/>
              <w:ind w:firstLine="480"/>
              <w:jc w:val="both"/>
              <w:rPr>
                <w:sz w:val="21"/>
                <w:szCs w:val="21"/>
              </w:rPr>
            </w:pPr>
            <w:r>
              <w:rPr>
                <w:sz w:val="21"/>
                <w:szCs w:val="21"/>
              </w:rPr>
              <w:t>3、服务商现场维修、保养人员均须持证上岗，各类特殊工种操作证齐备，适应现场要求的各项作业。</w:t>
            </w:r>
          </w:p>
          <w:p w14:paraId="5DE4466B">
            <w:pPr>
              <w:pStyle w:val="16"/>
              <w:spacing w:line="360" w:lineRule="auto"/>
              <w:ind w:firstLine="480"/>
              <w:jc w:val="both"/>
              <w:rPr>
                <w:sz w:val="21"/>
                <w:szCs w:val="21"/>
              </w:rPr>
            </w:pPr>
            <w:r>
              <w:rPr>
                <w:sz w:val="21"/>
                <w:szCs w:val="21"/>
              </w:rPr>
              <w:t>4、服务商须建立和完善供配电系统维保的各种规章制度、维护保养制度和操作规程，建立应急预案和安全生产管理制度，并报院方同意后执行。</w:t>
            </w:r>
          </w:p>
          <w:p w14:paraId="2B936A8A">
            <w:pPr>
              <w:pStyle w:val="16"/>
              <w:spacing w:line="360" w:lineRule="auto"/>
              <w:ind w:firstLine="480"/>
              <w:jc w:val="both"/>
              <w:rPr>
                <w:sz w:val="21"/>
                <w:szCs w:val="21"/>
              </w:rPr>
            </w:pPr>
            <w:r>
              <w:rPr>
                <w:sz w:val="21"/>
                <w:szCs w:val="21"/>
              </w:rPr>
              <w:t>5、为适应院方信息化建设的需要，提高效率，有效监管项目的服务质量，服务商应有完整的设备报修、维修、维护、巡查信息化管理平台，方便院方管理部门及时了解项目的报修、维修、维护、巡查进程情况；</w:t>
            </w:r>
          </w:p>
          <w:p w14:paraId="04BBEB3A">
            <w:pPr>
              <w:pStyle w:val="16"/>
              <w:spacing w:line="360" w:lineRule="auto"/>
              <w:ind w:firstLine="480"/>
              <w:jc w:val="both"/>
              <w:rPr>
                <w:sz w:val="21"/>
                <w:szCs w:val="21"/>
              </w:rPr>
            </w:pPr>
            <w:r>
              <w:rPr>
                <w:sz w:val="21"/>
                <w:szCs w:val="21"/>
              </w:rPr>
              <w:t>6、服务商需建立健全规范的供配电设备档案和管理，建立运行档案；包括设备的信息化电子档案，方便院方管理部门及时了解设备的各种信息,如设备参数，使用年限、维修信息等；</w:t>
            </w:r>
          </w:p>
          <w:p w14:paraId="745EE643">
            <w:pPr>
              <w:pStyle w:val="16"/>
              <w:spacing w:line="360" w:lineRule="auto"/>
              <w:ind w:firstLine="480"/>
              <w:jc w:val="both"/>
              <w:rPr>
                <w:sz w:val="21"/>
                <w:szCs w:val="21"/>
              </w:rPr>
            </w:pPr>
            <w:r>
              <w:rPr>
                <w:rFonts w:hint="eastAsia"/>
                <w:sz w:val="21"/>
                <w:szCs w:val="21"/>
                <w:lang w:val="en-US" w:eastAsia="zh-CN"/>
              </w:rPr>
              <w:t>7</w:t>
            </w:r>
            <w:r>
              <w:rPr>
                <w:sz w:val="21"/>
                <w:szCs w:val="21"/>
              </w:rPr>
              <w:t>、服务商所有维修保养及安装工程必须按国家有关消防、安全生产、建筑规范，机电安装、电力安装维修规范等标准执行。</w:t>
            </w:r>
          </w:p>
          <w:p w14:paraId="1B6D6406">
            <w:pPr>
              <w:pStyle w:val="16"/>
              <w:spacing w:line="360" w:lineRule="auto"/>
              <w:ind w:firstLine="480"/>
              <w:jc w:val="both"/>
              <w:rPr>
                <w:sz w:val="21"/>
                <w:szCs w:val="21"/>
              </w:rPr>
            </w:pPr>
            <w:r>
              <w:rPr>
                <w:rFonts w:hint="eastAsia"/>
                <w:sz w:val="21"/>
                <w:szCs w:val="21"/>
                <w:lang w:val="en-US" w:eastAsia="zh-CN"/>
              </w:rPr>
              <w:t>8</w:t>
            </w:r>
            <w:r>
              <w:rPr>
                <w:sz w:val="21"/>
                <w:szCs w:val="21"/>
              </w:rPr>
              <w:t>、服务商运行管理和维保质量必须达到三甲医院或上级部门检查的要求。服务态度、服务效率、服务水平满意度需达标。</w:t>
            </w:r>
          </w:p>
          <w:p w14:paraId="62EA2E48">
            <w:pPr>
              <w:pStyle w:val="16"/>
              <w:spacing w:line="360" w:lineRule="auto"/>
              <w:ind w:firstLine="480"/>
              <w:jc w:val="both"/>
              <w:rPr>
                <w:sz w:val="21"/>
                <w:szCs w:val="21"/>
              </w:rPr>
            </w:pPr>
            <w:r>
              <w:rPr>
                <w:rFonts w:hint="eastAsia"/>
                <w:sz w:val="21"/>
                <w:szCs w:val="21"/>
                <w:lang w:val="en-US" w:eastAsia="zh-CN"/>
              </w:rPr>
              <w:t>9</w:t>
            </w:r>
            <w:r>
              <w:rPr>
                <w:sz w:val="21"/>
                <w:szCs w:val="21"/>
              </w:rPr>
              <w:t>、服务商一般性维修接报后15分钟内到达现场，紧急维修5分钟内到达现场，并采取有效措施防止事态或危害的进一步扩大。</w:t>
            </w:r>
          </w:p>
          <w:p w14:paraId="664060C0">
            <w:pPr>
              <w:pStyle w:val="16"/>
              <w:spacing w:line="360" w:lineRule="auto"/>
              <w:ind w:firstLine="480"/>
              <w:jc w:val="both"/>
              <w:rPr>
                <w:sz w:val="21"/>
                <w:szCs w:val="21"/>
              </w:rPr>
            </w:pPr>
            <w:r>
              <w:rPr>
                <w:rFonts w:hint="eastAsia"/>
                <w:sz w:val="21"/>
                <w:szCs w:val="21"/>
                <w:lang w:val="en-US" w:eastAsia="zh-CN"/>
              </w:rPr>
              <w:t>10</w:t>
            </w:r>
            <w:r>
              <w:rPr>
                <w:sz w:val="21"/>
                <w:szCs w:val="21"/>
              </w:rPr>
              <w:t>、服务商所有巡查、维修、保养工作必须按照计划完成；所有维修及安装效果必须达到恢复原使用功能或优于原状。</w:t>
            </w:r>
          </w:p>
          <w:p w14:paraId="47F7BCAF">
            <w:pPr>
              <w:pStyle w:val="16"/>
              <w:spacing w:line="360" w:lineRule="auto"/>
              <w:ind w:firstLine="480"/>
              <w:jc w:val="both"/>
              <w:rPr>
                <w:sz w:val="21"/>
                <w:szCs w:val="21"/>
              </w:rPr>
            </w:pPr>
            <w:r>
              <w:rPr>
                <w:rFonts w:hint="eastAsia"/>
                <w:sz w:val="21"/>
                <w:szCs w:val="21"/>
                <w:lang w:val="en-US" w:eastAsia="zh-CN"/>
              </w:rPr>
              <w:t>11</w:t>
            </w:r>
            <w:r>
              <w:rPr>
                <w:sz w:val="21"/>
                <w:szCs w:val="21"/>
              </w:rPr>
              <w:t>、遇恶劣天气如台风、暴雨、洪涝水浸灾害，突发事故如火警、暴乱、全市大面积停电等重大事件时，服务商应主动服从院方的调配，加强值班或调应急人员进行抢险救灾工作，该情况下院方不再额外支付费用。</w:t>
            </w:r>
          </w:p>
          <w:p w14:paraId="64FD8D9A">
            <w:pPr>
              <w:pStyle w:val="16"/>
              <w:spacing w:line="360" w:lineRule="auto"/>
              <w:ind w:firstLine="480"/>
              <w:jc w:val="both"/>
              <w:rPr>
                <w:sz w:val="21"/>
                <w:szCs w:val="21"/>
              </w:rPr>
            </w:pPr>
            <w:r>
              <w:rPr>
                <w:rFonts w:hint="eastAsia"/>
                <w:sz w:val="21"/>
                <w:szCs w:val="21"/>
                <w:lang w:val="en-US" w:eastAsia="zh-CN"/>
              </w:rPr>
              <w:t>12</w:t>
            </w:r>
            <w:r>
              <w:rPr>
                <w:sz w:val="21"/>
                <w:szCs w:val="21"/>
              </w:rPr>
              <w:t>、服务商须每月末提供下一个月工作计划，次月上旬提交上一个月维护保养工作记录和维修更换的材料确认单，以及检修记录，设备的运行和安全状况报告，如有突发用电事故发生，自发生后24小时内提供事件处理报告；</w:t>
            </w:r>
          </w:p>
          <w:p w14:paraId="419E53F4">
            <w:pPr>
              <w:pStyle w:val="16"/>
              <w:spacing w:line="360" w:lineRule="auto"/>
              <w:ind w:firstLine="480"/>
              <w:jc w:val="both"/>
              <w:rPr>
                <w:sz w:val="21"/>
                <w:szCs w:val="21"/>
              </w:rPr>
            </w:pPr>
            <w:r>
              <w:rPr>
                <w:rFonts w:hint="eastAsia"/>
                <w:sz w:val="21"/>
                <w:szCs w:val="21"/>
                <w:lang w:val="en-US" w:eastAsia="zh-CN"/>
              </w:rPr>
              <w:t>13</w:t>
            </w:r>
            <w:r>
              <w:rPr>
                <w:sz w:val="21"/>
                <w:szCs w:val="21"/>
              </w:rPr>
              <w:t>、服务商应定期提交系统的安全运行、节能等方面的评估及建议。</w:t>
            </w:r>
          </w:p>
          <w:p w14:paraId="64535264">
            <w:pPr>
              <w:pStyle w:val="16"/>
              <w:spacing w:line="360" w:lineRule="auto"/>
              <w:ind w:firstLine="480"/>
              <w:jc w:val="both"/>
              <w:rPr>
                <w:sz w:val="21"/>
                <w:szCs w:val="21"/>
              </w:rPr>
            </w:pPr>
            <w:r>
              <w:rPr>
                <w:sz w:val="21"/>
                <w:szCs w:val="21"/>
              </w:rPr>
              <w:t>1</w:t>
            </w:r>
            <w:r>
              <w:rPr>
                <w:rFonts w:hint="eastAsia"/>
                <w:sz w:val="21"/>
                <w:szCs w:val="21"/>
                <w:lang w:val="en-US" w:eastAsia="zh-CN"/>
              </w:rPr>
              <w:t>4</w:t>
            </w:r>
            <w:r>
              <w:rPr>
                <w:sz w:val="21"/>
                <w:szCs w:val="21"/>
              </w:rPr>
              <w:t>、服务商信息化管理系统需对院方人员开展系统客户端、服务器端安装部署、使用等技术培训，提供详细的软件系统说明文档；并于服务期结束后，保留院方使用这些系统的权限。</w:t>
            </w:r>
          </w:p>
          <w:p w14:paraId="48873B87">
            <w:pPr>
              <w:pStyle w:val="16"/>
              <w:spacing w:line="360" w:lineRule="auto"/>
              <w:jc w:val="both"/>
              <w:rPr>
                <w:sz w:val="21"/>
                <w:szCs w:val="21"/>
              </w:rPr>
            </w:pPr>
            <w:r>
              <w:rPr>
                <w:b/>
                <w:sz w:val="21"/>
                <w:szCs w:val="21"/>
              </w:rPr>
              <w:t>五、人员要求</w:t>
            </w:r>
          </w:p>
          <w:p w14:paraId="6DFE17D2">
            <w:pPr>
              <w:pStyle w:val="16"/>
              <w:spacing w:line="360" w:lineRule="auto"/>
              <w:ind w:firstLine="480"/>
              <w:jc w:val="both"/>
              <w:rPr>
                <w:sz w:val="21"/>
                <w:szCs w:val="21"/>
                <w:highlight w:val="none"/>
              </w:rPr>
            </w:pPr>
            <w:r>
              <w:rPr>
                <w:sz w:val="21"/>
                <w:szCs w:val="21"/>
                <w:highlight w:val="none"/>
              </w:rPr>
              <w:t>1、驻点人数要求：本项目要求驻点服务人数为</w:t>
            </w:r>
            <w:r>
              <w:rPr>
                <w:rFonts w:hint="eastAsia"/>
                <w:sz w:val="21"/>
                <w:szCs w:val="21"/>
                <w:highlight w:val="none"/>
                <w:lang w:val="en-US" w:eastAsia="zh-CN"/>
              </w:rPr>
              <w:t>4</w:t>
            </w:r>
            <w:r>
              <w:rPr>
                <w:sz w:val="21"/>
                <w:szCs w:val="21"/>
                <w:highlight w:val="none"/>
              </w:rPr>
              <w:t>人。驻点人员考勤方式按采购人管理方式执行，驻点人员提供全年365天24小时值班服务。</w:t>
            </w:r>
          </w:p>
          <w:p w14:paraId="15623F61">
            <w:pPr>
              <w:pStyle w:val="16"/>
              <w:spacing w:line="360" w:lineRule="auto"/>
              <w:ind w:firstLine="480"/>
              <w:jc w:val="both"/>
              <w:rPr>
                <w:sz w:val="21"/>
                <w:szCs w:val="21"/>
                <w:highlight w:val="none"/>
              </w:rPr>
            </w:pPr>
            <w:r>
              <w:rPr>
                <w:sz w:val="21"/>
                <w:szCs w:val="21"/>
                <w:highlight w:val="none"/>
              </w:rPr>
              <w:t>2、人员资质要求：</w:t>
            </w:r>
          </w:p>
          <w:p w14:paraId="783789FD">
            <w:pPr>
              <w:pStyle w:val="16"/>
              <w:spacing w:line="360" w:lineRule="auto"/>
              <w:ind w:firstLine="480"/>
              <w:jc w:val="both"/>
              <w:rPr>
                <w:sz w:val="21"/>
                <w:szCs w:val="21"/>
                <w:highlight w:val="none"/>
              </w:rPr>
            </w:pPr>
            <w:r>
              <w:rPr>
                <w:sz w:val="21"/>
                <w:szCs w:val="21"/>
                <w:highlight w:val="none"/>
              </w:rPr>
              <w:t>2.1，驻场管理人员不少于</w:t>
            </w:r>
            <w:r>
              <w:rPr>
                <w:rFonts w:hint="eastAsia"/>
                <w:sz w:val="21"/>
                <w:szCs w:val="21"/>
                <w:highlight w:val="none"/>
                <w:lang w:val="en-US" w:eastAsia="zh-CN"/>
              </w:rPr>
              <w:t>1</w:t>
            </w:r>
            <w:r>
              <w:rPr>
                <w:sz w:val="21"/>
                <w:szCs w:val="21"/>
                <w:highlight w:val="none"/>
              </w:rPr>
              <w:t>名（要求机电类或电气类初级或以上职称）；</w:t>
            </w:r>
          </w:p>
          <w:p w14:paraId="2B8A1AC8">
            <w:pPr>
              <w:pStyle w:val="16"/>
              <w:spacing w:line="360" w:lineRule="auto"/>
              <w:ind w:firstLine="480"/>
              <w:jc w:val="both"/>
              <w:rPr>
                <w:sz w:val="21"/>
                <w:szCs w:val="21"/>
                <w:highlight w:val="none"/>
              </w:rPr>
            </w:pPr>
            <w:r>
              <w:rPr>
                <w:sz w:val="21"/>
                <w:szCs w:val="21"/>
                <w:highlight w:val="none"/>
              </w:rPr>
              <w:t>2.2全部驻场人员须持有中华人民共和国特种作业操作证低压电工作业证，其中至少</w:t>
            </w:r>
            <w:r>
              <w:rPr>
                <w:rFonts w:hint="eastAsia"/>
                <w:sz w:val="21"/>
                <w:szCs w:val="21"/>
                <w:highlight w:val="none"/>
                <w:lang w:val="en-US" w:eastAsia="zh-CN"/>
              </w:rPr>
              <w:t>2</w:t>
            </w:r>
            <w:r>
              <w:rPr>
                <w:sz w:val="21"/>
                <w:szCs w:val="21"/>
                <w:highlight w:val="none"/>
              </w:rPr>
              <w:t>名驻场人员持有中华人民共和国特种作业操作证高压电工作业证；</w:t>
            </w:r>
          </w:p>
          <w:p w14:paraId="778B59E6">
            <w:pPr>
              <w:pStyle w:val="16"/>
              <w:spacing w:line="360" w:lineRule="auto"/>
              <w:ind w:firstLine="480"/>
              <w:jc w:val="both"/>
              <w:rPr>
                <w:sz w:val="21"/>
                <w:szCs w:val="21"/>
                <w:highlight w:val="none"/>
              </w:rPr>
            </w:pPr>
            <w:r>
              <w:rPr>
                <w:sz w:val="21"/>
                <w:szCs w:val="21"/>
                <w:highlight w:val="none"/>
              </w:rPr>
              <w:t>2.</w:t>
            </w:r>
            <w:r>
              <w:rPr>
                <w:rFonts w:hint="eastAsia"/>
                <w:sz w:val="21"/>
                <w:szCs w:val="21"/>
                <w:highlight w:val="none"/>
                <w:lang w:val="en-US" w:eastAsia="zh-CN"/>
              </w:rPr>
              <w:t>3</w:t>
            </w:r>
            <w:r>
              <w:rPr>
                <w:sz w:val="21"/>
                <w:szCs w:val="21"/>
                <w:highlight w:val="none"/>
              </w:rPr>
              <w:t>每班按规定配备持有中华人民共和国特种作业操作证高压电工作业证人员不少于2人和持有中华人民共和国特种设备安全管理和作业人员证的维修人员，按8小时工作制工作</w:t>
            </w:r>
            <w:r>
              <w:rPr>
                <w:rFonts w:hint="eastAsia"/>
                <w:sz w:val="21"/>
                <w:szCs w:val="21"/>
                <w:highlight w:val="none"/>
                <w:lang w:eastAsia="zh-CN"/>
              </w:rPr>
              <w:t>。</w:t>
            </w:r>
          </w:p>
          <w:p w14:paraId="57DF3346">
            <w:pPr>
              <w:pStyle w:val="16"/>
              <w:spacing w:line="360" w:lineRule="auto"/>
              <w:jc w:val="both"/>
              <w:rPr>
                <w:sz w:val="21"/>
                <w:szCs w:val="21"/>
                <w:highlight w:val="none"/>
              </w:rPr>
            </w:pPr>
            <w:r>
              <w:rPr>
                <w:b/>
                <w:sz w:val="21"/>
                <w:szCs w:val="21"/>
                <w:highlight w:val="none"/>
              </w:rPr>
              <w:t>六、其他</w:t>
            </w:r>
          </w:p>
          <w:p w14:paraId="1F7F41A7">
            <w:pPr>
              <w:pStyle w:val="16"/>
              <w:spacing w:line="360" w:lineRule="auto"/>
              <w:ind w:firstLine="480"/>
              <w:jc w:val="both"/>
              <w:rPr>
                <w:sz w:val="21"/>
                <w:szCs w:val="21"/>
              </w:rPr>
            </w:pPr>
            <w:r>
              <w:rPr>
                <w:sz w:val="21"/>
                <w:szCs w:val="21"/>
              </w:rPr>
              <w:t>1、采购人有权对服务商维保工作进行监督检查。服务商驻场工作人员在工作中应接受采购人监督，按时完成各种维修和维护保养任务；如采购人对驻场工作人员服务不满，采购人有权利要求30天内更换驻场工作人员。</w:t>
            </w:r>
          </w:p>
          <w:p w14:paraId="48607D49">
            <w:pPr>
              <w:pStyle w:val="16"/>
              <w:spacing w:line="360" w:lineRule="auto"/>
              <w:ind w:firstLine="480"/>
              <w:jc w:val="both"/>
              <w:rPr>
                <w:sz w:val="21"/>
                <w:szCs w:val="21"/>
              </w:rPr>
            </w:pPr>
            <w:r>
              <w:rPr>
                <w:sz w:val="21"/>
                <w:szCs w:val="21"/>
              </w:rPr>
              <w:t>2、采购人有权在签订合同时对项目方案作适当修改调整或对服务数量作适量增加或减少，维保期内采购人业务需求的增减变动，服务商配合并做出相应的调整。</w:t>
            </w:r>
          </w:p>
          <w:p w14:paraId="099D6F08">
            <w:pPr>
              <w:pStyle w:val="16"/>
              <w:spacing w:line="360" w:lineRule="auto"/>
              <w:ind w:firstLine="480"/>
              <w:jc w:val="both"/>
              <w:rPr>
                <w:sz w:val="21"/>
                <w:szCs w:val="21"/>
              </w:rPr>
            </w:pPr>
            <w:r>
              <w:rPr>
                <w:sz w:val="21"/>
                <w:szCs w:val="21"/>
              </w:rPr>
              <w:t>3、采购人承担政府相关部门要求的各项检测费用。</w:t>
            </w:r>
          </w:p>
          <w:p w14:paraId="4941F361">
            <w:pPr>
              <w:pStyle w:val="16"/>
              <w:spacing w:line="360" w:lineRule="auto"/>
              <w:ind w:firstLine="480"/>
              <w:jc w:val="both"/>
              <w:rPr>
                <w:sz w:val="21"/>
                <w:szCs w:val="21"/>
              </w:rPr>
            </w:pPr>
            <w:r>
              <w:rPr>
                <w:sz w:val="21"/>
                <w:szCs w:val="21"/>
              </w:rPr>
              <w:t>4、服务商需按国家法律、法规的相关规定，为指派在采购人处工作的员工办理劳动用工手续，并承担保险、工资、劳保福利及其它一切费用，因违法用工造成的法律后果全部由服务商承担。</w:t>
            </w:r>
          </w:p>
          <w:p w14:paraId="33363902">
            <w:pPr>
              <w:pStyle w:val="16"/>
              <w:spacing w:line="360" w:lineRule="auto"/>
              <w:ind w:firstLine="480"/>
              <w:jc w:val="both"/>
              <w:rPr>
                <w:sz w:val="21"/>
                <w:szCs w:val="21"/>
              </w:rPr>
            </w:pPr>
            <w:r>
              <w:rPr>
                <w:sz w:val="21"/>
                <w:szCs w:val="21"/>
              </w:rPr>
              <w:t>5、服务商提供符合现场需要的技术、人力、工具及器具，按规定进行有序的维护保养工作；服务商应保证所有指派到采购人处工作的人员均经过岗前培训，并且成绩及格。</w:t>
            </w:r>
          </w:p>
          <w:p w14:paraId="659B15E2">
            <w:pPr>
              <w:pStyle w:val="16"/>
              <w:spacing w:line="360" w:lineRule="auto"/>
              <w:ind w:firstLine="480"/>
              <w:jc w:val="both"/>
              <w:rPr>
                <w:sz w:val="21"/>
                <w:szCs w:val="21"/>
              </w:rPr>
            </w:pPr>
            <w:r>
              <w:rPr>
                <w:sz w:val="21"/>
                <w:szCs w:val="21"/>
              </w:rPr>
              <w:t>6、服务商需建立设备故障登记制度，严格按照闭环管理处理故障，并把处理情况反馈给采购人；</w:t>
            </w:r>
          </w:p>
          <w:p w14:paraId="4D65804E">
            <w:pPr>
              <w:pStyle w:val="16"/>
              <w:spacing w:line="360" w:lineRule="auto"/>
              <w:ind w:firstLine="480"/>
              <w:jc w:val="both"/>
              <w:rPr>
                <w:sz w:val="21"/>
                <w:szCs w:val="21"/>
              </w:rPr>
            </w:pPr>
            <w:r>
              <w:rPr>
                <w:sz w:val="21"/>
                <w:szCs w:val="21"/>
              </w:rPr>
              <w:t>7、服务商需建立设备隐患登记制度，对于有隐患的设备要登记好，并及时反馈给院方,提出解除隐患方案与采购人商讨解决；</w:t>
            </w:r>
          </w:p>
          <w:p w14:paraId="07B9CAC5">
            <w:pPr>
              <w:pStyle w:val="16"/>
              <w:spacing w:line="360" w:lineRule="auto"/>
              <w:ind w:firstLine="480"/>
              <w:jc w:val="both"/>
              <w:rPr>
                <w:sz w:val="21"/>
                <w:szCs w:val="21"/>
              </w:rPr>
            </w:pPr>
            <w:r>
              <w:rPr>
                <w:sz w:val="21"/>
                <w:szCs w:val="21"/>
              </w:rPr>
              <w:t>8、在处理特殊事件和紧急、突发事故时，采购人有直接指挥权；对安全事故及重大故障，服务商必须按照重大故障上报机制执行，要把最新处理情况即时反馈给采购人，禁止隐瞒的行为；</w:t>
            </w:r>
          </w:p>
          <w:p w14:paraId="250DF556">
            <w:pPr>
              <w:pStyle w:val="16"/>
              <w:spacing w:line="360" w:lineRule="auto"/>
              <w:ind w:firstLine="480"/>
              <w:jc w:val="both"/>
              <w:rPr>
                <w:sz w:val="21"/>
                <w:szCs w:val="21"/>
              </w:rPr>
            </w:pPr>
            <w:r>
              <w:rPr>
                <w:sz w:val="21"/>
                <w:szCs w:val="21"/>
              </w:rPr>
              <w:t>9、服务商每月提供维护保养工作单，年终最后1个月初提供全年维护保养工作总结报告；</w:t>
            </w:r>
          </w:p>
          <w:p w14:paraId="4555D4C5">
            <w:pPr>
              <w:pStyle w:val="16"/>
              <w:spacing w:line="360" w:lineRule="auto"/>
              <w:ind w:firstLine="480"/>
              <w:jc w:val="both"/>
              <w:rPr>
                <w:sz w:val="21"/>
                <w:szCs w:val="21"/>
              </w:rPr>
            </w:pPr>
            <w:r>
              <w:rPr>
                <w:sz w:val="21"/>
                <w:szCs w:val="21"/>
              </w:rPr>
              <w:t>10、服务商工作人员在服务期间应加强安全管理，因采购人责任引发的安全事故，服务商必须承担由此引起的一切责任，包括但不限于经济与法律责任；因服务商工作人员过失导致设备损坏、人员安全事故等造成的全部经济及安全责任由服务商承担。</w:t>
            </w:r>
          </w:p>
          <w:p w14:paraId="1090D30E">
            <w:pPr>
              <w:pStyle w:val="16"/>
              <w:spacing w:line="360" w:lineRule="auto"/>
              <w:ind w:firstLine="480"/>
              <w:jc w:val="both"/>
              <w:rPr>
                <w:sz w:val="21"/>
                <w:szCs w:val="21"/>
              </w:rPr>
            </w:pPr>
            <w:r>
              <w:rPr>
                <w:sz w:val="21"/>
                <w:szCs w:val="21"/>
              </w:rPr>
              <w:t>11、服务商于月度结算时向采购人提交相关票据、资料等进行结算，如因服务商原因未及时提供相关票据资料造成结算延误，采购人不承担逾期付款责任。</w:t>
            </w:r>
          </w:p>
          <w:p w14:paraId="1603A690">
            <w:pPr>
              <w:pStyle w:val="16"/>
              <w:spacing w:line="360" w:lineRule="auto"/>
              <w:ind w:firstLine="480"/>
              <w:jc w:val="both"/>
              <w:rPr>
                <w:sz w:val="21"/>
                <w:szCs w:val="21"/>
              </w:rPr>
            </w:pPr>
            <w:r>
              <w:rPr>
                <w:sz w:val="21"/>
                <w:szCs w:val="21"/>
              </w:rPr>
              <w:t>12、服务商现场工作场所由采购人提供。</w:t>
            </w:r>
          </w:p>
          <w:p w14:paraId="4A2A041A">
            <w:pPr>
              <w:pStyle w:val="16"/>
              <w:spacing w:line="360" w:lineRule="auto"/>
              <w:ind w:firstLine="480"/>
              <w:jc w:val="both"/>
              <w:rPr>
                <w:sz w:val="21"/>
                <w:szCs w:val="21"/>
              </w:rPr>
            </w:pPr>
            <w:r>
              <w:rPr>
                <w:sz w:val="21"/>
                <w:szCs w:val="21"/>
              </w:rPr>
              <w:t>13、服务商所有员工必须着装统一，佩戴工牌上班，保持仪容、仪表整洁卫生；服务商工作人员应及时清理现场工作时产生的垃圾。</w:t>
            </w:r>
          </w:p>
          <w:p w14:paraId="1D4629EB">
            <w:pPr>
              <w:pStyle w:val="16"/>
              <w:spacing w:line="360" w:lineRule="auto"/>
              <w:ind w:firstLine="480"/>
              <w:jc w:val="both"/>
              <w:rPr>
                <w:sz w:val="21"/>
                <w:szCs w:val="21"/>
              </w:rPr>
            </w:pPr>
            <w:r>
              <w:rPr>
                <w:sz w:val="21"/>
                <w:szCs w:val="21"/>
              </w:rPr>
              <w:t>14、服务商所有维修安装等工作原则上均不能对采购人工作造成影响，确因需要的必须经采购人主管部门批准方可进行。</w:t>
            </w:r>
          </w:p>
          <w:p w14:paraId="69A0AFCD">
            <w:pPr>
              <w:pStyle w:val="16"/>
              <w:spacing w:line="360" w:lineRule="auto"/>
              <w:ind w:firstLine="480"/>
              <w:rPr>
                <w:sz w:val="21"/>
                <w:szCs w:val="21"/>
              </w:rPr>
            </w:pPr>
            <w:r>
              <w:rPr>
                <w:sz w:val="21"/>
                <w:szCs w:val="21"/>
              </w:rPr>
              <w:t>15.服务商应结合不同工艺的特性，制定健全的项目运行维护管理制度，明确日常运行维护内容，落实专人负责管理，做好运营台账记录。服务商不按照要求进行日常维护，采购人对服务商的维护考核评为不合格的，扣减当月运营费的10%（质量违约金）。工作内容包括但不限于：</w:t>
            </w:r>
          </w:p>
          <w:p w14:paraId="0549D14E">
            <w:pPr>
              <w:pStyle w:val="16"/>
              <w:spacing w:line="360" w:lineRule="auto"/>
              <w:ind w:firstLine="480"/>
              <w:rPr>
                <w:sz w:val="21"/>
                <w:szCs w:val="21"/>
              </w:rPr>
            </w:pPr>
            <w:r>
              <w:rPr>
                <w:sz w:val="21"/>
                <w:szCs w:val="21"/>
              </w:rPr>
              <w:t>15.1制定健全的项目运行维护管理制度</w:t>
            </w:r>
          </w:p>
          <w:p w14:paraId="653E78B2">
            <w:pPr>
              <w:pStyle w:val="16"/>
              <w:spacing w:line="360" w:lineRule="auto"/>
              <w:rPr>
                <w:sz w:val="21"/>
                <w:szCs w:val="21"/>
              </w:rPr>
            </w:pPr>
            <w:r>
              <w:rPr>
                <w:sz w:val="21"/>
                <w:szCs w:val="21"/>
              </w:rPr>
              <w:t>建立完善设备台账，每月对整个系统进行检查和维护，填写《现场设备维护记录表》，内容包括系统各种设备、设施的检查及各系统功能的链接等。确保系统各个模块都能正常运行，并对设备进行卫生清理，通过定期检查、定期保养，确保整个系统正常稳定运行。</w:t>
            </w:r>
          </w:p>
          <w:p w14:paraId="760301C0">
            <w:pPr>
              <w:pStyle w:val="16"/>
              <w:spacing w:line="360" w:lineRule="auto"/>
              <w:ind w:firstLine="480"/>
              <w:rPr>
                <w:sz w:val="21"/>
                <w:szCs w:val="21"/>
              </w:rPr>
            </w:pPr>
            <w:r>
              <w:rPr>
                <w:sz w:val="21"/>
                <w:szCs w:val="21"/>
              </w:rPr>
              <w:t>15.2建立运行技术档案</w:t>
            </w:r>
          </w:p>
          <w:p w14:paraId="3D9FEB7F">
            <w:pPr>
              <w:pStyle w:val="16"/>
              <w:spacing w:line="360" w:lineRule="auto"/>
              <w:rPr>
                <w:sz w:val="21"/>
                <w:szCs w:val="21"/>
              </w:rPr>
            </w:pPr>
            <w:r>
              <w:rPr>
                <w:sz w:val="21"/>
                <w:szCs w:val="21"/>
              </w:rPr>
              <w:t>服务商须建立完整的运维技术档案，做好每日的运行记录，确保采购人可随时调阅运维技术档案，了解系统的使用、维修、停运、性能检验等全部历史资料，进而对系统设备的运行情况做出正确评估。建立相应的质量保证体系，定期总结运行管理经验，且每月向采购人提交运行工作报告，并接受采购人对运维技术检查。</w:t>
            </w:r>
          </w:p>
          <w:p w14:paraId="26FF01C8">
            <w:pPr>
              <w:pStyle w:val="16"/>
              <w:spacing w:line="360" w:lineRule="auto"/>
              <w:ind w:firstLine="480"/>
              <w:jc w:val="both"/>
              <w:rPr>
                <w:sz w:val="21"/>
                <w:szCs w:val="21"/>
              </w:rPr>
            </w:pPr>
            <w:r>
              <w:rPr>
                <w:sz w:val="21"/>
                <w:szCs w:val="21"/>
              </w:rPr>
              <w:t>15.3根据设备工况及时调节系统各种运行参数。</w:t>
            </w:r>
          </w:p>
          <w:p w14:paraId="60A66291"/>
        </w:tc>
      </w:tr>
      <w:tr w14:paraId="5CA3C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1" w:type="dxa"/>
            <w:gridSpan w:val="2"/>
          </w:tcPr>
          <w:p w14:paraId="3301F0D4">
            <w:pPr>
              <w:pStyle w:val="1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A1F72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C906183"/>
    <w:rsid w:val="1C042A1F"/>
    <w:rsid w:val="20784C33"/>
    <w:rsid w:val="24D2209E"/>
    <w:rsid w:val="24F0150B"/>
    <w:rsid w:val="2F80457E"/>
    <w:rsid w:val="349E5471"/>
    <w:rsid w:val="38D526E1"/>
    <w:rsid w:val="394B75AF"/>
    <w:rsid w:val="3DA7680A"/>
    <w:rsid w:val="481007AD"/>
    <w:rsid w:val="4AFA7E0D"/>
    <w:rsid w:val="4EC10F8B"/>
    <w:rsid w:val="4EDA651C"/>
    <w:rsid w:val="503C735D"/>
    <w:rsid w:val="51051655"/>
    <w:rsid w:val="51277097"/>
    <w:rsid w:val="52A05BEE"/>
    <w:rsid w:val="52A13E2E"/>
    <w:rsid w:val="54D97240"/>
    <w:rsid w:val="625A5BD1"/>
    <w:rsid w:val="6A454942"/>
    <w:rsid w:val="6CFB554B"/>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footer"/>
    <w:basedOn w:val="1"/>
    <w:link w:val="12"/>
    <w:qFormat/>
    <w:uiPriority w:val="0"/>
    <w:pPr>
      <w:tabs>
        <w:tab w:val="center" w:pos="4513"/>
        <w:tab w:val="right" w:pos="9026"/>
      </w:tabs>
      <w:snapToGrid w:val="0"/>
      <w:jc w:val="left"/>
    </w:pPr>
    <w:rPr>
      <w:sz w:val="18"/>
      <w:szCs w:val="18"/>
    </w:rPr>
  </w:style>
  <w:style w:type="paragraph" w:styleId="5">
    <w:name w:val="header"/>
    <w:basedOn w:val="1"/>
    <w:link w:val="11"/>
    <w:qFormat/>
    <w:uiPriority w:val="0"/>
    <w:pPr>
      <w:tabs>
        <w:tab w:val="center" w:pos="4513"/>
        <w:tab w:val="right" w:pos="902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9">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0">
    <w:name w:val="No Spacing"/>
    <w:qFormat/>
    <w:uiPriority w:val="1"/>
    <w:rPr>
      <w:rFonts w:ascii="Calibri" w:hAnsi="Calibri" w:eastAsia="宋体" w:cs="Times New Roman"/>
      <w:sz w:val="22"/>
      <w:szCs w:val="22"/>
      <w:lang w:val="en-US" w:eastAsia="zh-CN" w:bidi="ar-SA"/>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paragraph" w:customStyle="1" w:styleId="13">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4">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15">
    <w:name w:val="List Paragraph"/>
    <w:basedOn w:val="1"/>
    <w:autoRedefine/>
    <w:qFormat/>
    <w:uiPriority w:val="34"/>
    <w:pPr>
      <w:ind w:firstLine="420" w:firstLineChars="200"/>
    </w:pPr>
  </w:style>
  <w:style w:type="paragraph" w:customStyle="1" w:styleId="16">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1100</Words>
  <Characters>1339</Characters>
  <Lines>8</Lines>
  <Paragraphs>2</Paragraphs>
  <TotalTime>0</TotalTime>
  <ScaleCrop>false</ScaleCrop>
  <LinksUpToDate>false</LinksUpToDate>
  <CharactersWithSpaces>1937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2024-11-21T02:01:26Z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5896D99A6A204B76837B989F1F383169_13</vt:lpwstr>
  </property>
</Properties>
</file>