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诊间支付终端设备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58000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采购数量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10台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及评分方法</w:t>
            </w:r>
            <w:r>
              <w:rPr>
                <w:rFonts w:eastAsia="FangSong_GB2312" w:asciiTheme="minorHAnsi" w:hAnsiTheme="minorHAnsi" w:cstheme="minorHAnsi"/>
                <w:lang w:bidi="ar"/>
              </w:rPr>
              <w:t>：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见附件1、附件2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A194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430E3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 xml:space="preserve">    线上报名网址：https://ecp.vhepro.com/home（线上报名后需提交响应文件到线下地点。）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附件1：诊间支付终端设备采购参数</w:t>
      </w:r>
    </w:p>
    <w:tbl>
      <w:tblPr>
        <w:tblStyle w:val="1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6705"/>
      </w:tblGrid>
      <w:tr w14:paraId="4F0C0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E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主要功能: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支持医保电子凭证扫码应用、刷脸应用和医保支付、身份识别及核验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。</w:t>
            </w:r>
          </w:p>
        </w:tc>
      </w:tr>
      <w:tr w14:paraId="5304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E5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woUserID w:val="1"/>
              </w:rPr>
            </w:pPr>
          </w:p>
        </w:tc>
      </w:tr>
      <w:tr w14:paraId="15634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5337C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部件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 w14:paraId="4FB59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技术参数</w:t>
            </w:r>
          </w:p>
        </w:tc>
      </w:tr>
      <w:tr w14:paraId="02D9B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2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显示器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4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尺寸：大于等于8寸，竖屏，分辨率：大于等于800*1280，电容式触控屏</w:t>
            </w:r>
          </w:p>
        </w:tc>
      </w:tr>
      <w:tr w14:paraId="157A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C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处理器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A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8核 ≥1.8GHz</w:t>
            </w:r>
          </w:p>
        </w:tc>
      </w:tr>
      <w:tr w14:paraId="1A1E7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0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存储器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62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≥4GB+64GB</w:t>
            </w:r>
          </w:p>
        </w:tc>
      </w:tr>
      <w:tr w14:paraId="2584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B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操作系统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E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Android</w:t>
            </w:r>
          </w:p>
        </w:tc>
      </w:tr>
      <w:tr w14:paraId="5DAD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2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网络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E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TD-LTE/FDD-LTE/TD-SCDMA/WCDMA/GSM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网络专线或GRE方式接入医保业务区网络</w:t>
            </w:r>
          </w:p>
        </w:tc>
      </w:tr>
      <w:tr w14:paraId="7A0B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C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WIFI/BT/以太网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2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WIFI:2.4G/5G双频，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支持IEEE 802.11 a/b/g/n，BT4.0,1000Base-T</w:t>
            </w:r>
          </w:p>
        </w:tc>
      </w:tr>
      <w:tr w14:paraId="2A31F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4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人脸识别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7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基于 3D 结构光摄像头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  <w:woUserID w:val="1"/>
              </w:rPr>
              <w:t>，可快速识别人脸，具有高识别率，高安全性</w:t>
            </w:r>
          </w:p>
        </w:tc>
      </w:tr>
      <w:tr w14:paraId="56D4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3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蓝牙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4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4.2频率范围：2400-2483.5MHz；发射功率：≤20dBm（EIRP）</w:t>
            </w:r>
          </w:p>
        </w:tc>
      </w:tr>
      <w:tr w14:paraId="3ADF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B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身份证读取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C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基于身份证识读身份信息，该模块须集成到医保业务综合服务终端，读取二代身份证。</w:t>
            </w:r>
          </w:p>
        </w:tc>
      </w:tr>
      <w:tr w14:paraId="3F50F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9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条码阅读器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70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支持1D/2D条码阅读；支持码制：符合国际、国内通用二维码标准识读精度：一维码≥4mil；二维码≥7mil；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  <w:woUserID w:val="1"/>
              </w:rPr>
              <w:t>能识别多种码制。</w:t>
            </w:r>
          </w:p>
        </w:tc>
      </w:tr>
      <w:tr w14:paraId="2BF50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1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加密安全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B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内置国家密码管理部门核准硬件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  <w:woUserID w:val="1"/>
              </w:rPr>
              <w:t>密码技术加固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安全模块，</w:t>
            </w:r>
            <w:r>
              <w:rPr>
                <w:rFonts w:hint="eastAsia" w:ascii="宋体" w:hAnsi="宋体" w:eastAsia="宋体" w:cs="宋体"/>
                <w:spacing w:val="-3"/>
                <w:kern w:val="2"/>
                <w:sz w:val="21"/>
                <w:szCs w:val="21"/>
                <w:lang w:val="en-US" w:eastAsia="zh-CN" w:bidi="ar"/>
                <w:woUserID w:val="1"/>
              </w:rPr>
              <w:t>终端部件防拆</w:t>
            </w:r>
          </w:p>
        </w:tc>
      </w:tr>
      <w:tr w14:paraId="3C34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4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扩展接口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2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RJ45、USB、电源口</w:t>
            </w:r>
          </w:p>
        </w:tc>
      </w:tr>
      <w:tr w14:paraId="268D4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7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防盗设计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E9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须具备防盗锁孔设计，保障设备安全性</w:t>
            </w:r>
          </w:p>
        </w:tc>
      </w:tr>
      <w:tr w14:paraId="0AE0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E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产品认证</w:t>
            </w:r>
          </w:p>
        </w:tc>
        <w:tc>
          <w:tcPr>
            <w:tcW w:w="393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4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国家医保局CHS认证机构检测《医保业务综合服务终端检测报告证书》</w:t>
            </w:r>
          </w:p>
          <w:p w14:paraId="69234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  <w:woUserID w:val="1"/>
              </w:rPr>
              <w:t>ROHS认证、3C认证、SRRC核准认证、CTA许可证。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  <w:woUserID w:val="1"/>
              </w:rPr>
              <w:t xml:space="preserve"> </w:t>
            </w:r>
          </w:p>
        </w:tc>
      </w:tr>
      <w:tr w14:paraId="232A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DCD"/>
            <w:vAlign w:val="center"/>
          </w:tcPr>
          <w:p w14:paraId="0CEF98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  <w:woUserID w:val="1"/>
              </w:rPr>
              <w:t>功能</w:t>
            </w:r>
          </w:p>
        </w:tc>
        <w:tc>
          <w:tcPr>
            <w:tcW w:w="3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FCDCD"/>
            <w:vAlign w:val="center"/>
          </w:tcPr>
          <w:p w14:paraId="722B7F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woUserID w:val="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"/>
                <w:woUserID w:val="1"/>
              </w:rPr>
              <w:t>软件功能</w:t>
            </w:r>
          </w:p>
        </w:tc>
      </w:tr>
      <w:tr w14:paraId="12F12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D3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医保电子凭证激活</w:t>
            </w:r>
          </w:p>
        </w:tc>
        <w:tc>
          <w:tcPr>
            <w:tcW w:w="3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D6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通过识别身份证或人脸识别实现医保电子凭证的激活</w:t>
            </w:r>
          </w:p>
        </w:tc>
      </w:tr>
      <w:tr w14:paraId="1221B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5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核实参保身份</w:t>
            </w:r>
          </w:p>
        </w:tc>
        <w:tc>
          <w:tcPr>
            <w:tcW w:w="3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5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通过展示医保电子凭证码或刷脸完成参保身份的核实</w:t>
            </w:r>
          </w:p>
        </w:tc>
      </w:tr>
      <w:tr w14:paraId="23421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C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医保结算支付</w:t>
            </w:r>
          </w:p>
        </w:tc>
        <w:tc>
          <w:tcPr>
            <w:tcW w:w="3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7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核实身份后通过与医保系统和院内系统数据的交互完成医保结算</w:t>
            </w:r>
          </w:p>
        </w:tc>
      </w:tr>
      <w:tr w14:paraId="764A9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7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自费结算支付</w:t>
            </w:r>
          </w:p>
        </w:tc>
        <w:tc>
          <w:tcPr>
            <w:tcW w:w="3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46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自费部分可通过扫描微信和支付宝来完成结算</w:t>
            </w:r>
          </w:p>
        </w:tc>
      </w:tr>
      <w:tr w14:paraId="53FBD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0F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支付结果展示</w:t>
            </w:r>
          </w:p>
        </w:tc>
        <w:tc>
          <w:tcPr>
            <w:tcW w:w="3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2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完成结算后，可通过医保终端的界面看到支付结果</w:t>
            </w:r>
          </w:p>
        </w:tc>
      </w:tr>
    </w:tbl>
    <w:p w14:paraId="7B0759FE"/>
    <w:p w14:paraId="571EECC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7AE8F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1E8353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6DE359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533980A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BA8A114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  <w:bookmarkStart w:id="0" w:name="_GoBack"/>
      <w:bookmarkEnd w:id="0"/>
    </w:p>
    <w:tbl>
      <w:tblPr>
        <w:tblStyle w:val="14"/>
        <w:tblpPr w:leftFromText="180" w:rightFromText="180" w:vertAnchor="page" w:horzAnchor="page" w:tblpX="1904" w:tblpY="2055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40"/>
        <w:gridCol w:w="1926"/>
        <w:gridCol w:w="1873"/>
        <w:gridCol w:w="2606"/>
      </w:tblGrid>
      <w:tr w14:paraId="4D96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683D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40B0D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52549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B34A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581C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ABC2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1E7A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72BC9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5437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98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2CC9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200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90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3EFD8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0FE0A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47E0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6C134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3B3E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F7A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6288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2CA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3D43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5294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4F0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0AF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109B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21170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920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600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A9FE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1C2BE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1CFBB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27FC6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5E05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E2D1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1707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BE92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2258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A6B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A25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B996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661C7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2D70A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C5C3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353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9455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671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058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8209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7467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E5A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1E1A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C6F6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E2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0" w:type="dxa"/>
            <w:gridSpan w:val="2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8D6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基本分：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254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F9C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8F8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4DB7BE81">
      <w:pPr>
        <w:pStyle w:val="12"/>
        <w:spacing w:before="0" w:beforeAutospacing="0" w:after="0" w:afterAutospacing="0" w:line="420" w:lineRule="exact"/>
        <w:rPr>
          <w:rFonts w:hint="default" w:cs="Times New Roman"/>
          <w:kern w:val="2"/>
          <w:sz w:val="24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720B50"/>
    <w:rsid w:val="05C83698"/>
    <w:rsid w:val="0A8A6F01"/>
    <w:rsid w:val="0BB574E9"/>
    <w:rsid w:val="0DF72211"/>
    <w:rsid w:val="0F227162"/>
    <w:rsid w:val="10A62A18"/>
    <w:rsid w:val="16373051"/>
    <w:rsid w:val="165E7E7E"/>
    <w:rsid w:val="1A120022"/>
    <w:rsid w:val="1AE22727"/>
    <w:rsid w:val="1C042A1F"/>
    <w:rsid w:val="1D6B43AB"/>
    <w:rsid w:val="20784C33"/>
    <w:rsid w:val="24D2209E"/>
    <w:rsid w:val="26B72AA4"/>
    <w:rsid w:val="26CD1C32"/>
    <w:rsid w:val="271C06DD"/>
    <w:rsid w:val="2B202C91"/>
    <w:rsid w:val="2C6941AB"/>
    <w:rsid w:val="2D7D23EE"/>
    <w:rsid w:val="2DF60F5E"/>
    <w:rsid w:val="2EF20488"/>
    <w:rsid w:val="2F257DA7"/>
    <w:rsid w:val="2F80457E"/>
    <w:rsid w:val="349E5471"/>
    <w:rsid w:val="35CB1A33"/>
    <w:rsid w:val="38D526E1"/>
    <w:rsid w:val="394B75AF"/>
    <w:rsid w:val="3C2B5111"/>
    <w:rsid w:val="3D626373"/>
    <w:rsid w:val="3DA7680A"/>
    <w:rsid w:val="44F52628"/>
    <w:rsid w:val="461E3079"/>
    <w:rsid w:val="46A139FD"/>
    <w:rsid w:val="481007AD"/>
    <w:rsid w:val="49013E51"/>
    <w:rsid w:val="49E17296"/>
    <w:rsid w:val="49E2134B"/>
    <w:rsid w:val="4AC86916"/>
    <w:rsid w:val="4AFF7D5D"/>
    <w:rsid w:val="4D8E366A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D97240"/>
    <w:rsid w:val="55E93AE3"/>
    <w:rsid w:val="57875362"/>
    <w:rsid w:val="63B25E95"/>
    <w:rsid w:val="6604073B"/>
    <w:rsid w:val="66102866"/>
    <w:rsid w:val="66D31996"/>
    <w:rsid w:val="688F3EA6"/>
    <w:rsid w:val="69887333"/>
    <w:rsid w:val="6A454942"/>
    <w:rsid w:val="6AF645BE"/>
    <w:rsid w:val="6C6D0B73"/>
    <w:rsid w:val="6CFB554B"/>
    <w:rsid w:val="77996CC0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1287</Words>
  <Characters>1520</Characters>
  <Lines>8</Lines>
  <Paragraphs>2</Paragraphs>
  <TotalTime>12</TotalTime>
  <ScaleCrop>false</ScaleCrop>
  <LinksUpToDate>false</LinksUpToDate>
  <CharactersWithSpaces>1628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2025-03-26T00:47:42Z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D4EE62459D724C639581A3B0230D2322_13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