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spacing w:line="360" w:lineRule="auto"/>
              <w:ind w:firstLine="480" w:firstLineChars="200"/>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项目名称：</w:t>
            </w:r>
            <w:r>
              <w:rPr>
                <w:rFonts w:hint="eastAsia" w:ascii="FangSong_GB2312" w:hAnsi="FangSong_GB2312" w:eastAsia="FangSong_GB2312" w:cs="FangSong_GB2312"/>
                <w:color w:val="000000"/>
                <w:kern w:val="0"/>
                <w:sz w:val="24"/>
                <w:lang w:val="en-US" w:eastAsia="zh-CN" w:bidi="ar"/>
              </w:rPr>
              <w:t>贵州航天医院</w:t>
            </w:r>
            <w:r>
              <w:rPr>
                <w:rFonts w:hint="eastAsia" w:ascii="FangSong_GB2312" w:hAnsi="FangSong_GB2312" w:eastAsia="FangSong_GB2312" w:cs="FangSong_GB2312"/>
                <w:color w:val="000000"/>
                <w:kern w:val="0"/>
                <w:sz w:val="24"/>
                <w:lang w:bidi="ar"/>
              </w:rPr>
              <w:t>外科综合大楼周边及呼吸综合大楼</w:t>
            </w:r>
            <w:r>
              <w:rPr>
                <w:rFonts w:hint="eastAsia" w:ascii="FangSong_GB2312" w:hAnsi="FangSong_GB2312" w:eastAsia="FangSong_GB2312" w:cs="FangSong_GB2312"/>
                <w:color w:val="000000"/>
                <w:kern w:val="0"/>
                <w:sz w:val="24"/>
                <w:lang w:eastAsia="zh-CN" w:bidi="ar"/>
              </w:rPr>
              <w:t>前沥青路面铺设</w:t>
            </w:r>
            <w:r>
              <w:rPr>
                <w:rFonts w:hint="eastAsia" w:ascii="FangSong_GB2312" w:hAnsi="FangSong_GB2312" w:eastAsia="FangSong_GB2312" w:cs="FangSong_GB2312"/>
                <w:color w:val="000000"/>
                <w:kern w:val="0"/>
                <w:sz w:val="24"/>
                <w:lang w:bidi="ar"/>
              </w:rPr>
              <w:t>工程</w:t>
            </w:r>
            <w:r>
              <w:rPr>
                <w:rFonts w:hint="eastAsia" w:ascii="FangSong_GB2312" w:hAnsi="FangSong_GB2312" w:eastAsia="FangSong_GB2312" w:cs="FangSong_GB2312"/>
                <w:color w:val="000000"/>
                <w:kern w:val="0"/>
                <w:sz w:val="24"/>
                <w:lang w:val="en-US" w:eastAsia="zh-CN" w:bidi="ar"/>
              </w:rPr>
              <w:t>施工单位遴选项目</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570000元</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570000元</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320AE93">
            <w:pPr>
              <w:widowControl/>
              <w:ind w:firstLine="480" w:firstLineChars="200"/>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采购需求：外科综合大楼周边及呼吸综合大楼</w:t>
            </w:r>
            <w:r>
              <w:rPr>
                <w:rFonts w:hint="eastAsia" w:ascii="FangSong_GB2312" w:hAnsi="FangSong_GB2312" w:eastAsia="FangSong_GB2312" w:cs="FangSong_GB2312"/>
                <w:color w:val="000000"/>
                <w:kern w:val="0"/>
                <w:sz w:val="24"/>
                <w:lang w:eastAsia="zh-CN" w:bidi="ar"/>
              </w:rPr>
              <w:t>前沥青路面铺设</w:t>
            </w:r>
            <w:r>
              <w:rPr>
                <w:rFonts w:hint="eastAsia" w:ascii="FangSong_GB2312" w:hAnsi="FangSong_GB2312" w:eastAsia="FangSong_GB2312" w:cs="FangSong_GB2312"/>
                <w:color w:val="000000"/>
                <w:kern w:val="0"/>
                <w:sz w:val="24"/>
                <w:lang w:bidi="ar"/>
              </w:rPr>
              <w:t>工程</w:t>
            </w:r>
            <w:r>
              <w:rPr>
                <w:rFonts w:hint="eastAsia" w:ascii="FangSong_GB2312" w:hAnsi="FangSong_GB2312" w:eastAsia="FangSong_GB2312" w:cs="FangSong_GB2312"/>
                <w:color w:val="000000"/>
                <w:kern w:val="0"/>
                <w:sz w:val="24"/>
                <w:lang w:val="en-US" w:eastAsia="zh-CN" w:bidi="ar"/>
              </w:rPr>
              <w:t>，评分方法见附件1、项目要求见附件2</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hint="eastAsia"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3个工作日内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val="en-US" w:eastAsia="zh-CN" w:bidi="ar"/>
              </w:rPr>
              <w:t>赵老师</w:t>
            </w:r>
            <w:r>
              <w:rPr>
                <w:rFonts w:hint="eastAsia" w:ascii="FangSong_GB2312" w:hAnsi="FangSong_GB2312" w:eastAsia="FangSong_GB2312" w:cs="FangSong_GB2312"/>
                <w:color w:val="000000"/>
                <w:kern w:val="0"/>
                <w:sz w:val="24"/>
                <w:lang w:bidi="ar"/>
              </w:rPr>
              <w:t>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eastAsia="zh-CN" w:bidi="ar"/>
              </w:rPr>
              <w:t>陈天然</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7CC65435">
      <w:pPr>
        <w:jc w:val="left"/>
        <w:rPr>
          <w:rFonts w:hint="eastAsia"/>
          <w:b/>
          <w:bCs/>
          <w:sz w:val="30"/>
          <w:szCs w:val="30"/>
          <w:lang w:eastAsia="zh-CN"/>
        </w:rPr>
      </w:pPr>
    </w:p>
    <w:p w14:paraId="26A7AE86">
      <w:pPr>
        <w:jc w:val="left"/>
        <w:rPr>
          <w:rFonts w:hint="eastAsia"/>
          <w:b/>
          <w:bCs/>
          <w:sz w:val="30"/>
          <w:szCs w:val="30"/>
          <w:lang w:eastAsia="zh-CN"/>
        </w:rPr>
      </w:pPr>
    </w:p>
    <w:p w14:paraId="7D95A85F">
      <w:pPr>
        <w:jc w:val="left"/>
        <w:rPr>
          <w:rFonts w:hint="default"/>
          <w:b/>
          <w:bCs/>
          <w:sz w:val="30"/>
          <w:szCs w:val="30"/>
          <w:lang w:val="en-US" w:eastAsia="zh-CN"/>
        </w:rPr>
      </w:pPr>
      <w:r>
        <w:rPr>
          <w:rFonts w:hint="eastAsia"/>
          <w:b/>
          <w:bCs/>
          <w:sz w:val="30"/>
          <w:szCs w:val="30"/>
          <w:lang w:val="en-US" w:eastAsia="zh-CN"/>
        </w:rPr>
        <w:t>附件1：评分方法</w:t>
      </w:r>
    </w:p>
    <w:tbl>
      <w:tblPr>
        <w:tblStyle w:val="14"/>
        <w:tblpPr w:leftFromText="180" w:rightFromText="180" w:vertAnchor="page" w:horzAnchor="page" w:tblpXSpec="center" w:tblpY="2342"/>
        <w:tblOverlap w:val="never"/>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571"/>
        <w:gridCol w:w="1572"/>
        <w:gridCol w:w="1708"/>
        <w:gridCol w:w="1799"/>
        <w:gridCol w:w="1639"/>
      </w:tblGrid>
      <w:tr w14:paraId="0908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3599" w:type="dxa"/>
            <w:gridSpan w:val="2"/>
            <w:tcBorders>
              <w:top w:val="single" w:color="DA554F" w:sz="12" w:space="0"/>
              <w:left w:val="single" w:color="DA554F" w:sz="12" w:space="0"/>
              <w:bottom w:val="single" w:color="E68F8A" w:sz="4" w:space="0"/>
              <w:right w:val="single" w:color="E68F8A" w:sz="4" w:space="0"/>
              <w:tl2br w:val="single" w:color="000000" w:sz="4" w:space="0"/>
            </w:tcBorders>
            <w:shd w:val="clear" w:color="auto" w:fill="F1CAC2"/>
          </w:tcPr>
          <w:p w14:paraId="303D4F9C">
            <w:pPr>
              <w:spacing w:line="26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投标单位</w:t>
            </w:r>
          </w:p>
          <w:p w14:paraId="46C266C6">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分值</w:t>
            </w:r>
          </w:p>
        </w:tc>
        <w:tc>
          <w:tcPr>
            <w:tcW w:w="1572" w:type="dxa"/>
            <w:tcBorders>
              <w:top w:val="single" w:color="DA554F" w:sz="12" w:space="0"/>
              <w:left w:val="single" w:color="E68F8A" w:sz="4" w:space="0"/>
              <w:bottom w:val="single" w:color="E68F8A" w:sz="4" w:space="0"/>
              <w:right w:val="single" w:color="E68F8A" w:sz="4" w:space="0"/>
            </w:tcBorders>
            <w:shd w:val="clear" w:color="auto" w:fill="auto"/>
            <w:vAlign w:val="center"/>
          </w:tcPr>
          <w:p w14:paraId="0E20C980">
            <w:pPr>
              <w:spacing w:line="260" w:lineRule="exact"/>
              <w:rPr>
                <w:rFonts w:ascii="仿宋_GB2312" w:hAnsi="仿宋_GB2312" w:eastAsia="仿宋_GB2312" w:cs="仿宋_GB2312"/>
                <w:sz w:val="21"/>
                <w:szCs w:val="21"/>
              </w:rPr>
            </w:pPr>
          </w:p>
        </w:tc>
        <w:tc>
          <w:tcPr>
            <w:tcW w:w="1708" w:type="dxa"/>
            <w:tcBorders>
              <w:top w:val="single" w:color="DA554F" w:sz="12" w:space="0"/>
              <w:left w:val="single" w:color="E68F8A" w:sz="4" w:space="0"/>
              <w:bottom w:val="single" w:color="E68F8A" w:sz="4" w:space="0"/>
              <w:right w:val="single" w:color="E68F8A" w:sz="4" w:space="0"/>
            </w:tcBorders>
            <w:shd w:val="clear" w:color="auto" w:fill="F1CAC2"/>
            <w:vAlign w:val="center"/>
          </w:tcPr>
          <w:p w14:paraId="010D5054">
            <w:pPr>
              <w:spacing w:line="260" w:lineRule="exact"/>
              <w:rPr>
                <w:rFonts w:ascii="仿宋_GB2312" w:hAnsi="仿宋_GB2312" w:eastAsia="仿宋_GB2312" w:cs="仿宋_GB2312"/>
                <w:sz w:val="21"/>
                <w:szCs w:val="21"/>
              </w:rPr>
            </w:pPr>
          </w:p>
        </w:tc>
        <w:tc>
          <w:tcPr>
            <w:tcW w:w="1799" w:type="dxa"/>
            <w:tcBorders>
              <w:top w:val="single" w:color="DA554F" w:sz="12" w:space="0"/>
              <w:left w:val="single" w:color="E68F8A" w:sz="4" w:space="0"/>
              <w:bottom w:val="single" w:color="E68F8A" w:sz="4" w:space="0"/>
              <w:right w:val="single" w:color="DA554F" w:sz="4" w:space="0"/>
            </w:tcBorders>
            <w:shd w:val="clear" w:color="auto" w:fill="auto"/>
            <w:vAlign w:val="center"/>
          </w:tcPr>
          <w:p w14:paraId="73C1DEA3">
            <w:pPr>
              <w:spacing w:line="260" w:lineRule="exact"/>
              <w:rPr>
                <w:rFonts w:ascii="仿宋_GB2312" w:hAnsi="仿宋_GB2312" w:eastAsia="仿宋_GB2312" w:cs="仿宋_GB2312"/>
                <w:sz w:val="21"/>
                <w:szCs w:val="21"/>
              </w:rPr>
            </w:pPr>
          </w:p>
        </w:tc>
        <w:tc>
          <w:tcPr>
            <w:tcW w:w="1639" w:type="dxa"/>
            <w:tcBorders>
              <w:top w:val="single" w:color="DA554F" w:sz="12" w:space="0"/>
              <w:left w:val="single" w:color="E68F8A" w:sz="4" w:space="0"/>
              <w:bottom w:val="single" w:color="E68F8A" w:sz="4" w:space="0"/>
              <w:right w:val="single" w:color="DA554F" w:sz="4" w:space="0"/>
            </w:tcBorders>
            <w:shd w:val="clear" w:color="auto" w:fill="F1CAC2"/>
          </w:tcPr>
          <w:p w14:paraId="3418C8E6">
            <w:pPr>
              <w:spacing w:line="260" w:lineRule="exact"/>
              <w:rPr>
                <w:rFonts w:hint="eastAsia" w:ascii="仿宋_GB2312" w:hAnsi="仿宋_GB2312" w:eastAsia="仿宋_GB2312" w:cs="仿宋_GB2312"/>
                <w:sz w:val="21"/>
                <w:szCs w:val="21"/>
              </w:rPr>
            </w:pPr>
          </w:p>
        </w:tc>
      </w:tr>
      <w:tr w14:paraId="0C1A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028" w:type="dxa"/>
            <w:tcBorders>
              <w:top w:val="single" w:color="E68F8A" w:sz="4" w:space="0"/>
              <w:left w:val="single" w:color="DA554F" w:sz="12" w:space="0"/>
              <w:bottom w:val="single" w:color="E68F8A" w:sz="4" w:space="0"/>
              <w:right w:val="single" w:color="E68F8A" w:sz="4" w:space="0"/>
            </w:tcBorders>
            <w:shd w:val="clear" w:color="auto" w:fill="FDF7F6"/>
            <w:vAlign w:val="center"/>
          </w:tcPr>
          <w:p w14:paraId="6888582C">
            <w:pPr>
              <w:spacing w:line="260" w:lineRule="exact"/>
              <w:rPr>
                <w:rFonts w:hint="eastAsia" w:ascii="宋体" w:hAnsi="宋体" w:cs="宋体"/>
                <w:b w:val="0"/>
                <w:bCs w:val="0"/>
                <w:color w:val="auto"/>
                <w:kern w:val="0"/>
                <w:sz w:val="26"/>
                <w:szCs w:val="26"/>
                <w:highlight w:val="none"/>
                <w:shd w:val="clear" w:color="auto" w:fill="FFFFFF"/>
                <w:lang w:val="en-US" w:eastAsia="zh-CN" w:bidi="ar"/>
              </w:rPr>
            </w:pPr>
            <w:r>
              <w:rPr>
                <w:rFonts w:hint="eastAsia" w:ascii="宋体" w:hAnsi="宋体" w:cs="宋体"/>
                <w:b w:val="0"/>
                <w:bCs w:val="0"/>
                <w:color w:val="auto"/>
                <w:kern w:val="0"/>
                <w:sz w:val="26"/>
                <w:szCs w:val="26"/>
                <w:highlight w:val="none"/>
                <w:shd w:val="clear" w:color="auto" w:fill="FFFFFF"/>
                <w:lang w:val="en-US" w:eastAsia="zh-CN" w:bidi="ar"/>
              </w:rPr>
              <w:t>投标</w:t>
            </w:r>
          </w:p>
          <w:p w14:paraId="3C4B6EF4">
            <w:pPr>
              <w:spacing w:line="260" w:lineRule="exact"/>
              <w:rPr>
                <w:rFonts w:ascii="仿宋_GB2312" w:hAnsi="仿宋_GB2312" w:eastAsia="仿宋_GB2312" w:cs="仿宋_GB2312"/>
                <w:sz w:val="24"/>
              </w:rPr>
            </w:pPr>
            <w:r>
              <w:rPr>
                <w:rFonts w:hint="eastAsia" w:ascii="宋体" w:hAnsi="宋体" w:cs="宋体"/>
                <w:b w:val="0"/>
                <w:bCs w:val="0"/>
                <w:color w:val="auto"/>
                <w:kern w:val="0"/>
                <w:sz w:val="26"/>
                <w:szCs w:val="26"/>
                <w:highlight w:val="none"/>
                <w:shd w:val="clear" w:color="auto" w:fill="FFFFFF"/>
                <w:lang w:val="en-US" w:eastAsia="zh-CN" w:bidi="ar"/>
              </w:rPr>
              <w:t>文件</w:t>
            </w:r>
          </w:p>
        </w:tc>
        <w:tc>
          <w:tcPr>
            <w:tcW w:w="2571" w:type="dxa"/>
            <w:tcBorders>
              <w:top w:val="single" w:color="E68F8A" w:sz="4" w:space="0"/>
              <w:left w:val="single" w:color="E68F8A" w:sz="4" w:space="0"/>
              <w:right w:val="single" w:color="E68F8A" w:sz="4" w:space="0"/>
            </w:tcBorders>
            <w:shd w:val="clear" w:color="auto" w:fill="F1CAC2"/>
            <w:vAlign w:val="center"/>
          </w:tcPr>
          <w:p w14:paraId="35CA4FD8">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b w:val="0"/>
                <w:bCs w:val="0"/>
                <w:color w:val="auto"/>
                <w:kern w:val="0"/>
                <w:sz w:val="21"/>
                <w:szCs w:val="21"/>
                <w:highlight w:val="none"/>
                <w:shd w:val="clear" w:color="auto" w:fill="FFFFFF"/>
                <w:lang w:val="en-US" w:eastAsia="zh-CN" w:bidi="ar"/>
              </w:rPr>
              <w:t>有投标涵（格式自拟）、有效营业执照、资质证书</w:t>
            </w:r>
            <w:r>
              <w:rPr>
                <w:rFonts w:hint="eastAsia" w:ascii="仿宋_GB2312" w:hAnsi="Times New Roman" w:eastAsia="仿宋_GB2312" w:cs="Times New Roman"/>
                <w:sz w:val="21"/>
                <w:szCs w:val="21"/>
                <w:lang w:eastAsia="zh-CN"/>
              </w:rPr>
              <w:t>、</w:t>
            </w:r>
            <w:r>
              <w:rPr>
                <w:rFonts w:hint="eastAsia" w:ascii="仿宋_GB2312" w:hAnsi="Times New Roman" w:eastAsia="仿宋_GB2312" w:cs="Times New Roman"/>
                <w:sz w:val="21"/>
                <w:szCs w:val="21"/>
              </w:rPr>
              <w:t>安全生产许可证</w:t>
            </w:r>
            <w:r>
              <w:rPr>
                <w:rFonts w:hint="eastAsia" w:ascii="仿宋_GB2312" w:hAnsi="Times New Roman" w:eastAsia="仿宋_GB2312" w:cs="Times New Roman"/>
                <w:sz w:val="21"/>
                <w:szCs w:val="21"/>
                <w:lang w:eastAsia="zh-CN"/>
              </w:rPr>
              <w:t>、</w:t>
            </w:r>
            <w:r>
              <w:rPr>
                <w:rFonts w:hint="eastAsia" w:ascii="仿宋_GB2312" w:hAnsi="Times New Roman" w:eastAsia="仿宋_GB2312" w:cs="Times New Roman"/>
                <w:sz w:val="21"/>
                <w:szCs w:val="21"/>
                <w:lang w:val="en-US" w:eastAsia="zh-CN"/>
              </w:rPr>
              <w:t>承担本项目的项目经理二级</w:t>
            </w:r>
            <w:r>
              <w:rPr>
                <w:rFonts w:hint="eastAsia" w:ascii="仿宋_GB2312" w:hAnsi="Times New Roman" w:eastAsia="仿宋_GB2312" w:cs="Times New Roman"/>
                <w:sz w:val="21"/>
                <w:szCs w:val="21"/>
              </w:rPr>
              <w:t>建筑工程专业注册建造师</w:t>
            </w:r>
            <w:r>
              <w:rPr>
                <w:rFonts w:hint="eastAsia" w:ascii="仿宋_GB2312" w:hAnsi="Times New Roman" w:eastAsia="仿宋_GB2312" w:cs="Times New Roman"/>
                <w:sz w:val="21"/>
                <w:szCs w:val="21"/>
                <w:lang w:val="en-US" w:eastAsia="zh-CN"/>
              </w:rPr>
              <w:t>证书</w:t>
            </w:r>
            <w:r>
              <w:rPr>
                <w:rFonts w:hint="eastAsia" w:ascii="仿宋_GB2312" w:hAnsi="仿宋_GB2312" w:eastAsia="仿宋_GB2312" w:cs="仿宋_GB2312"/>
                <w:b w:val="0"/>
                <w:bCs w:val="0"/>
                <w:color w:val="auto"/>
                <w:kern w:val="0"/>
                <w:sz w:val="21"/>
                <w:szCs w:val="21"/>
                <w:highlight w:val="none"/>
                <w:shd w:val="clear" w:color="auto" w:fill="FFFFFF"/>
                <w:lang w:val="en-US" w:eastAsia="zh-CN" w:bidi="ar"/>
              </w:rPr>
              <w:t>等5项内容。</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0分)缺一项扣</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分</w:t>
            </w:r>
          </w:p>
        </w:tc>
        <w:tc>
          <w:tcPr>
            <w:tcW w:w="1572" w:type="dxa"/>
            <w:tcBorders>
              <w:top w:val="single" w:color="E68F8A" w:sz="4" w:space="0"/>
              <w:left w:val="single" w:color="E68F8A" w:sz="4" w:space="0"/>
              <w:right w:val="single" w:color="E68F8A" w:sz="4" w:space="0"/>
            </w:tcBorders>
            <w:shd w:val="clear" w:color="auto" w:fill="FDF7F6"/>
            <w:vAlign w:val="center"/>
          </w:tcPr>
          <w:p w14:paraId="62021868">
            <w:pPr>
              <w:spacing w:line="260" w:lineRule="exact"/>
              <w:rPr>
                <w:rFonts w:ascii="仿宋_GB2312" w:hAnsi="仿宋_GB2312" w:eastAsia="仿宋_GB2312" w:cs="仿宋_GB2312"/>
                <w:sz w:val="24"/>
              </w:rPr>
            </w:pPr>
          </w:p>
        </w:tc>
        <w:tc>
          <w:tcPr>
            <w:tcW w:w="1708" w:type="dxa"/>
            <w:tcBorders>
              <w:top w:val="single" w:color="E68F8A" w:sz="4" w:space="0"/>
              <w:left w:val="single" w:color="E68F8A" w:sz="4" w:space="0"/>
              <w:right w:val="single" w:color="DA554F" w:sz="4" w:space="0"/>
            </w:tcBorders>
            <w:shd w:val="clear" w:color="auto" w:fill="F1CAC2"/>
            <w:vAlign w:val="center"/>
          </w:tcPr>
          <w:p w14:paraId="2C66B16A">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 xml:space="preserve">  </w:t>
            </w:r>
          </w:p>
        </w:tc>
        <w:tc>
          <w:tcPr>
            <w:tcW w:w="1799" w:type="dxa"/>
            <w:tcBorders>
              <w:top w:val="single" w:color="E68F8A" w:sz="4" w:space="0"/>
              <w:left w:val="single" w:color="DA554F" w:sz="4" w:space="0"/>
              <w:right w:val="single" w:color="E68F8A" w:sz="4" w:space="0"/>
            </w:tcBorders>
            <w:shd w:val="clear" w:color="auto" w:fill="FDF7F6"/>
            <w:vAlign w:val="center"/>
          </w:tcPr>
          <w:p w14:paraId="1558295A">
            <w:pPr>
              <w:spacing w:line="260" w:lineRule="exact"/>
              <w:rPr>
                <w:rFonts w:ascii="仿宋_GB2312" w:hAnsi="仿宋_GB2312" w:eastAsia="仿宋_GB2312" w:cs="仿宋_GB2312"/>
                <w:sz w:val="24"/>
              </w:rPr>
            </w:pPr>
          </w:p>
        </w:tc>
        <w:tc>
          <w:tcPr>
            <w:tcW w:w="1639" w:type="dxa"/>
            <w:tcBorders>
              <w:top w:val="single" w:color="E68F8A" w:sz="4" w:space="0"/>
              <w:left w:val="single" w:color="DA554F" w:sz="4" w:space="0"/>
              <w:bottom w:val="single" w:color="E68F8A" w:sz="4" w:space="0"/>
              <w:right w:val="single" w:color="E68F8A" w:sz="4" w:space="0"/>
            </w:tcBorders>
            <w:shd w:val="clear" w:color="auto" w:fill="F1CAC2"/>
          </w:tcPr>
          <w:p w14:paraId="003262B8">
            <w:pPr>
              <w:spacing w:line="260" w:lineRule="exact"/>
              <w:rPr>
                <w:rFonts w:ascii="仿宋_GB2312" w:hAnsi="仿宋_GB2312" w:eastAsia="仿宋_GB2312" w:cs="仿宋_GB2312"/>
                <w:sz w:val="24"/>
              </w:rPr>
            </w:pPr>
          </w:p>
        </w:tc>
      </w:tr>
      <w:tr w14:paraId="0F1F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9" w:hRule="atLeast"/>
          <w:jc w:val="center"/>
        </w:trPr>
        <w:tc>
          <w:tcPr>
            <w:tcW w:w="1028" w:type="dxa"/>
            <w:tcBorders>
              <w:top w:val="single" w:color="E68F8A" w:sz="4" w:space="0"/>
              <w:left w:val="single" w:color="DA554F" w:sz="12" w:space="0"/>
              <w:bottom w:val="single" w:color="E68F8A" w:sz="4" w:space="0"/>
              <w:right w:val="single" w:color="E68F8A" w:sz="4" w:space="0"/>
            </w:tcBorders>
            <w:shd w:val="clear" w:color="auto" w:fill="FDF7F6"/>
            <w:vAlign w:val="center"/>
          </w:tcPr>
          <w:p w14:paraId="7157A0C3">
            <w:pPr>
              <w:spacing w:line="2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质量</w:t>
            </w:r>
          </w:p>
          <w:p w14:paraId="1443CD09">
            <w:pPr>
              <w:spacing w:line="2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要求</w:t>
            </w:r>
          </w:p>
        </w:tc>
        <w:tc>
          <w:tcPr>
            <w:tcW w:w="2571" w:type="dxa"/>
            <w:tcBorders>
              <w:top w:val="single" w:color="E68F8A" w:sz="4" w:space="0"/>
              <w:left w:val="single" w:color="E68F8A" w:sz="4" w:space="0"/>
              <w:bottom w:val="single" w:color="E68F8A" w:sz="4" w:space="0"/>
              <w:right w:val="single" w:color="E68F8A" w:sz="4" w:space="0"/>
            </w:tcBorders>
            <w:shd w:val="clear" w:color="auto" w:fill="F1CAC2"/>
            <w:vAlign w:val="center"/>
          </w:tcPr>
          <w:p w14:paraId="5C2FE3DC">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b w:val="0"/>
                <w:bCs w:val="0"/>
                <w:color w:val="auto"/>
                <w:kern w:val="0"/>
                <w:sz w:val="21"/>
                <w:szCs w:val="21"/>
                <w:highlight w:val="none"/>
                <w:shd w:val="clear" w:color="auto" w:fill="FFFFFF"/>
                <w:lang w:val="en-US" w:eastAsia="zh-CN" w:bidi="ar"/>
              </w:rPr>
              <w:t>满足现行相关设计、施工及行业相关标准要求，有质量承诺。</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分，满足得</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分，不满足得</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分</w:t>
            </w:r>
          </w:p>
        </w:tc>
        <w:tc>
          <w:tcPr>
            <w:tcW w:w="1572" w:type="dxa"/>
            <w:tcBorders>
              <w:top w:val="single" w:color="E68F8A" w:sz="4" w:space="0"/>
              <w:left w:val="single" w:color="E68F8A" w:sz="4" w:space="0"/>
              <w:bottom w:val="single" w:color="E68F8A" w:sz="4" w:space="0"/>
              <w:right w:val="single" w:color="E68F8A" w:sz="4" w:space="0"/>
            </w:tcBorders>
            <w:shd w:val="clear" w:color="auto" w:fill="FDF7F6"/>
            <w:vAlign w:val="center"/>
          </w:tcPr>
          <w:p w14:paraId="430B0AB0">
            <w:pPr>
              <w:spacing w:line="260" w:lineRule="exact"/>
              <w:rPr>
                <w:rFonts w:ascii="仿宋_GB2312" w:hAnsi="仿宋_GB2312" w:eastAsia="仿宋_GB2312" w:cs="仿宋_GB2312"/>
                <w:sz w:val="24"/>
              </w:rPr>
            </w:pPr>
          </w:p>
        </w:tc>
        <w:tc>
          <w:tcPr>
            <w:tcW w:w="1708" w:type="dxa"/>
            <w:tcBorders>
              <w:top w:val="single" w:color="E68F8A" w:sz="4" w:space="0"/>
              <w:left w:val="single" w:color="E68F8A" w:sz="4" w:space="0"/>
              <w:bottom w:val="single" w:color="E68F8A" w:sz="4" w:space="0"/>
              <w:right w:val="single" w:color="DA554F" w:sz="4" w:space="0"/>
            </w:tcBorders>
            <w:shd w:val="clear" w:color="auto" w:fill="F1CAC2"/>
            <w:vAlign w:val="center"/>
          </w:tcPr>
          <w:p w14:paraId="72BA677D">
            <w:pPr>
              <w:spacing w:line="260" w:lineRule="exact"/>
              <w:rPr>
                <w:rFonts w:ascii="仿宋_GB2312" w:hAnsi="仿宋_GB2312" w:eastAsia="仿宋_GB2312" w:cs="仿宋_GB2312"/>
                <w:sz w:val="24"/>
              </w:rPr>
            </w:pPr>
          </w:p>
        </w:tc>
        <w:tc>
          <w:tcPr>
            <w:tcW w:w="1799" w:type="dxa"/>
            <w:tcBorders>
              <w:top w:val="single" w:color="E68F8A" w:sz="4" w:space="0"/>
              <w:left w:val="single" w:color="DA554F" w:sz="4" w:space="0"/>
              <w:bottom w:val="single" w:color="E68F8A" w:sz="4" w:space="0"/>
              <w:right w:val="single" w:color="E68F8A" w:sz="4" w:space="0"/>
            </w:tcBorders>
            <w:shd w:val="clear" w:color="auto" w:fill="FDF7F6"/>
            <w:vAlign w:val="center"/>
          </w:tcPr>
          <w:p w14:paraId="6CC1CF54">
            <w:pPr>
              <w:spacing w:line="260" w:lineRule="exact"/>
              <w:rPr>
                <w:rFonts w:ascii="仿宋_GB2312" w:hAnsi="仿宋_GB2312" w:eastAsia="仿宋_GB2312" w:cs="仿宋_GB2312"/>
                <w:sz w:val="24"/>
              </w:rPr>
            </w:pPr>
          </w:p>
        </w:tc>
        <w:tc>
          <w:tcPr>
            <w:tcW w:w="1639" w:type="dxa"/>
            <w:tcBorders>
              <w:top w:val="single" w:color="E68F8A" w:sz="4" w:space="0"/>
              <w:left w:val="single" w:color="DA554F" w:sz="4" w:space="0"/>
              <w:bottom w:val="single" w:color="E68F8A" w:sz="4" w:space="0"/>
              <w:right w:val="single" w:color="E68F8A" w:sz="4" w:space="0"/>
            </w:tcBorders>
            <w:shd w:val="clear" w:color="auto" w:fill="F1CAC2"/>
          </w:tcPr>
          <w:p w14:paraId="0C4F5943">
            <w:pPr>
              <w:spacing w:line="260" w:lineRule="exact"/>
              <w:rPr>
                <w:rFonts w:ascii="仿宋_GB2312" w:hAnsi="仿宋_GB2312" w:eastAsia="仿宋_GB2312" w:cs="仿宋_GB2312"/>
                <w:sz w:val="24"/>
              </w:rPr>
            </w:pPr>
          </w:p>
        </w:tc>
      </w:tr>
      <w:tr w14:paraId="5E07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1028" w:type="dxa"/>
            <w:tcBorders>
              <w:top w:val="single" w:color="E68F8A" w:sz="4" w:space="0"/>
              <w:left w:val="single" w:color="DA554F" w:sz="12" w:space="0"/>
              <w:bottom w:val="single" w:color="auto" w:sz="4" w:space="0"/>
              <w:right w:val="single" w:color="E68F8A" w:sz="4" w:space="0"/>
            </w:tcBorders>
            <w:shd w:val="clear" w:color="auto" w:fill="FDF7F6"/>
            <w:vAlign w:val="center"/>
          </w:tcPr>
          <w:p w14:paraId="39586E22">
            <w:pPr>
              <w:spacing w:line="2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业绩</w:t>
            </w:r>
          </w:p>
        </w:tc>
        <w:tc>
          <w:tcPr>
            <w:tcW w:w="2571" w:type="dxa"/>
            <w:tcBorders>
              <w:top w:val="single" w:color="E68F8A" w:sz="4" w:space="0"/>
              <w:left w:val="single" w:color="E68F8A" w:sz="4" w:space="0"/>
              <w:bottom w:val="single" w:color="auto" w:sz="4" w:space="0"/>
              <w:right w:val="single" w:color="E68F8A" w:sz="4" w:space="0"/>
            </w:tcBorders>
            <w:shd w:val="clear" w:color="auto" w:fill="F1CAC2"/>
            <w:vAlign w:val="center"/>
          </w:tcPr>
          <w:p w14:paraId="3025A9BD">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1家以上，</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分，满足得</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分，不满足得0分</w:t>
            </w:r>
          </w:p>
        </w:tc>
        <w:tc>
          <w:tcPr>
            <w:tcW w:w="1572" w:type="dxa"/>
            <w:tcBorders>
              <w:top w:val="single" w:color="E68F8A" w:sz="4" w:space="0"/>
              <w:left w:val="single" w:color="E68F8A" w:sz="4" w:space="0"/>
              <w:bottom w:val="single" w:color="auto" w:sz="4" w:space="0"/>
              <w:right w:val="single" w:color="E68F8A" w:sz="4" w:space="0"/>
            </w:tcBorders>
            <w:shd w:val="clear" w:color="auto" w:fill="FDF7F6"/>
            <w:vAlign w:val="center"/>
          </w:tcPr>
          <w:p w14:paraId="638F950E">
            <w:pPr>
              <w:spacing w:line="260" w:lineRule="exact"/>
              <w:rPr>
                <w:rFonts w:ascii="仿宋_GB2312" w:hAnsi="仿宋_GB2312" w:eastAsia="仿宋_GB2312" w:cs="仿宋_GB2312"/>
                <w:sz w:val="24"/>
              </w:rPr>
            </w:pPr>
          </w:p>
        </w:tc>
        <w:tc>
          <w:tcPr>
            <w:tcW w:w="1708" w:type="dxa"/>
            <w:tcBorders>
              <w:top w:val="single" w:color="E68F8A" w:sz="4" w:space="0"/>
              <w:left w:val="single" w:color="E68F8A" w:sz="4" w:space="0"/>
              <w:bottom w:val="single" w:color="auto" w:sz="4" w:space="0"/>
              <w:right w:val="single" w:color="DA554F" w:sz="4" w:space="0"/>
            </w:tcBorders>
            <w:shd w:val="clear" w:color="auto" w:fill="F1CAC2"/>
            <w:vAlign w:val="center"/>
          </w:tcPr>
          <w:p w14:paraId="3177F096">
            <w:pPr>
              <w:spacing w:line="260" w:lineRule="exact"/>
              <w:rPr>
                <w:rFonts w:ascii="仿宋_GB2312" w:hAnsi="仿宋_GB2312" w:eastAsia="仿宋_GB2312" w:cs="仿宋_GB2312"/>
                <w:sz w:val="24"/>
              </w:rPr>
            </w:pPr>
          </w:p>
        </w:tc>
        <w:tc>
          <w:tcPr>
            <w:tcW w:w="1799" w:type="dxa"/>
            <w:tcBorders>
              <w:top w:val="single" w:color="E68F8A" w:sz="4" w:space="0"/>
              <w:left w:val="single" w:color="DA554F" w:sz="4" w:space="0"/>
              <w:bottom w:val="single" w:color="auto" w:sz="4" w:space="0"/>
              <w:right w:val="single" w:color="E68F8A" w:sz="4" w:space="0"/>
            </w:tcBorders>
            <w:shd w:val="clear" w:color="auto" w:fill="FDF7F6"/>
            <w:vAlign w:val="center"/>
          </w:tcPr>
          <w:p w14:paraId="7F24F63F">
            <w:pPr>
              <w:spacing w:line="260" w:lineRule="exact"/>
              <w:rPr>
                <w:rFonts w:ascii="仿宋_GB2312" w:hAnsi="仿宋_GB2312" w:eastAsia="仿宋_GB2312" w:cs="仿宋_GB2312"/>
                <w:sz w:val="24"/>
              </w:rPr>
            </w:pPr>
          </w:p>
        </w:tc>
        <w:tc>
          <w:tcPr>
            <w:tcW w:w="1639" w:type="dxa"/>
            <w:tcBorders>
              <w:top w:val="single" w:color="E68F8A" w:sz="4" w:space="0"/>
              <w:left w:val="single" w:color="DA554F" w:sz="4" w:space="0"/>
              <w:bottom w:val="single" w:color="auto" w:sz="4" w:space="0"/>
              <w:right w:val="single" w:color="E68F8A" w:sz="4" w:space="0"/>
            </w:tcBorders>
            <w:shd w:val="clear" w:color="auto" w:fill="F1CAC2"/>
          </w:tcPr>
          <w:p w14:paraId="26DEBC6D">
            <w:pPr>
              <w:spacing w:line="260" w:lineRule="exact"/>
              <w:rPr>
                <w:rFonts w:ascii="仿宋_GB2312" w:hAnsi="仿宋_GB2312" w:eastAsia="仿宋_GB2312" w:cs="仿宋_GB2312"/>
                <w:sz w:val="24"/>
              </w:rPr>
            </w:pPr>
          </w:p>
        </w:tc>
      </w:tr>
      <w:tr w14:paraId="0C29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2" w:hRule="atLeast"/>
          <w:jc w:val="center"/>
        </w:trPr>
        <w:tc>
          <w:tcPr>
            <w:tcW w:w="1028" w:type="dxa"/>
            <w:tcBorders>
              <w:top w:val="single" w:color="auto" w:sz="4" w:space="0"/>
              <w:left w:val="single" w:color="DA554F" w:sz="12" w:space="0"/>
              <w:bottom w:val="single" w:color="E68F8A" w:sz="4" w:space="0"/>
              <w:right w:val="single" w:color="E68F8A" w:sz="4" w:space="0"/>
            </w:tcBorders>
            <w:shd w:val="clear" w:color="auto" w:fill="FDF7F6"/>
            <w:vAlign w:val="center"/>
          </w:tcPr>
          <w:p w14:paraId="5DBF3D14">
            <w:pPr>
              <w:spacing w:line="2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方案</w:t>
            </w:r>
          </w:p>
          <w:p w14:paraId="1FE31683">
            <w:pPr>
              <w:spacing w:line="26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eastAsia="zh-CN"/>
              </w:rPr>
              <w:t>陈述</w:t>
            </w:r>
          </w:p>
        </w:tc>
        <w:tc>
          <w:tcPr>
            <w:tcW w:w="2571" w:type="dxa"/>
            <w:tcBorders>
              <w:top w:val="single" w:color="auto" w:sz="4" w:space="0"/>
              <w:left w:val="single" w:color="E68F8A" w:sz="4" w:space="0"/>
              <w:bottom w:val="single" w:color="E68F8A" w:sz="4" w:space="0"/>
              <w:right w:val="single" w:color="E68F8A" w:sz="4" w:space="0"/>
            </w:tcBorders>
            <w:shd w:val="clear" w:color="auto" w:fill="F1CAC2"/>
            <w:vAlign w:val="center"/>
          </w:tcPr>
          <w:p w14:paraId="75A39B3F">
            <w:pPr>
              <w:spacing w:line="26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陈述内容：严格按医院发出竞争性磋商施工清单逐项说明</w:t>
            </w:r>
            <w:r>
              <w:rPr>
                <w:rFonts w:hint="eastAsia" w:ascii="仿宋_GB2312" w:hAnsi="仿宋_GB2312" w:eastAsia="仿宋_GB2312" w:cs="仿宋_GB2312"/>
                <w:b w:val="0"/>
                <w:bCs w:val="0"/>
                <w:color w:val="auto"/>
                <w:kern w:val="0"/>
                <w:sz w:val="21"/>
                <w:szCs w:val="21"/>
                <w:highlight w:val="none"/>
                <w:shd w:val="clear" w:color="auto" w:fill="FFFFFF"/>
                <w:lang w:eastAsia="zh-CN" w:bidi="ar"/>
              </w:rPr>
              <w:t>。</w:t>
            </w:r>
            <w:r>
              <w:rPr>
                <w:rFonts w:hint="eastAsia" w:ascii="仿宋_GB2312" w:hAnsi="仿宋_GB2312" w:eastAsia="仿宋_GB2312" w:cs="仿宋_GB2312"/>
                <w:sz w:val="21"/>
                <w:szCs w:val="21"/>
                <w:lang w:eastAsia="zh-CN"/>
              </w:rPr>
              <w:t>满分</w:t>
            </w:r>
            <w:r>
              <w:rPr>
                <w:rFonts w:hint="eastAsia" w:ascii="仿宋_GB2312" w:hAnsi="仿宋_GB2312" w:eastAsia="仿宋_GB2312" w:cs="仿宋_GB2312"/>
                <w:sz w:val="21"/>
                <w:szCs w:val="21"/>
                <w:lang w:val="en-US" w:eastAsia="zh-CN"/>
              </w:rPr>
              <w:t>20分，全部满足得20分，部分满足得10分，未作出说明得0分</w:t>
            </w:r>
          </w:p>
        </w:tc>
        <w:tc>
          <w:tcPr>
            <w:tcW w:w="1572" w:type="dxa"/>
            <w:tcBorders>
              <w:top w:val="single" w:color="auto" w:sz="4" w:space="0"/>
              <w:left w:val="single" w:color="E68F8A" w:sz="4" w:space="0"/>
              <w:bottom w:val="single" w:color="E68F8A" w:sz="4" w:space="0"/>
              <w:right w:val="single" w:color="E68F8A" w:sz="4" w:space="0"/>
            </w:tcBorders>
            <w:shd w:val="clear" w:color="auto" w:fill="FDF7F6"/>
            <w:vAlign w:val="center"/>
          </w:tcPr>
          <w:p w14:paraId="5114544F">
            <w:pPr>
              <w:spacing w:line="260" w:lineRule="exact"/>
              <w:rPr>
                <w:rFonts w:ascii="仿宋_GB2312" w:hAnsi="仿宋_GB2312" w:eastAsia="仿宋_GB2312" w:cs="仿宋_GB2312"/>
                <w:sz w:val="24"/>
              </w:rPr>
            </w:pPr>
          </w:p>
        </w:tc>
        <w:tc>
          <w:tcPr>
            <w:tcW w:w="1708" w:type="dxa"/>
            <w:tcBorders>
              <w:top w:val="single" w:color="auto" w:sz="4" w:space="0"/>
              <w:left w:val="single" w:color="E68F8A" w:sz="4" w:space="0"/>
              <w:bottom w:val="single" w:color="E68F8A" w:sz="4" w:space="0"/>
              <w:right w:val="single" w:color="DA554F" w:sz="4" w:space="0"/>
            </w:tcBorders>
            <w:shd w:val="clear" w:color="auto" w:fill="F1CAC2"/>
            <w:vAlign w:val="center"/>
          </w:tcPr>
          <w:p w14:paraId="5F54A866">
            <w:pPr>
              <w:spacing w:line="260" w:lineRule="exact"/>
              <w:rPr>
                <w:rFonts w:ascii="仿宋_GB2312" w:hAnsi="仿宋_GB2312" w:eastAsia="仿宋_GB2312" w:cs="仿宋_GB2312"/>
                <w:sz w:val="24"/>
              </w:rPr>
            </w:pPr>
          </w:p>
        </w:tc>
        <w:tc>
          <w:tcPr>
            <w:tcW w:w="1799" w:type="dxa"/>
            <w:tcBorders>
              <w:top w:val="single" w:color="auto" w:sz="4" w:space="0"/>
              <w:left w:val="single" w:color="DA554F" w:sz="4" w:space="0"/>
              <w:bottom w:val="single" w:color="E68F8A" w:sz="4" w:space="0"/>
              <w:right w:val="single" w:color="E68F8A" w:sz="4" w:space="0"/>
            </w:tcBorders>
            <w:shd w:val="clear" w:color="auto" w:fill="FDF7F6"/>
            <w:vAlign w:val="center"/>
          </w:tcPr>
          <w:p w14:paraId="382D7D67">
            <w:pPr>
              <w:spacing w:line="260" w:lineRule="exact"/>
              <w:rPr>
                <w:rFonts w:ascii="仿宋_GB2312" w:hAnsi="仿宋_GB2312" w:eastAsia="仿宋_GB2312" w:cs="仿宋_GB2312"/>
                <w:sz w:val="24"/>
              </w:rPr>
            </w:pPr>
          </w:p>
        </w:tc>
        <w:tc>
          <w:tcPr>
            <w:tcW w:w="1639" w:type="dxa"/>
            <w:tcBorders>
              <w:top w:val="single" w:color="auto" w:sz="4" w:space="0"/>
              <w:left w:val="single" w:color="DA554F" w:sz="4" w:space="0"/>
              <w:bottom w:val="single" w:color="E68F8A" w:sz="4" w:space="0"/>
              <w:right w:val="single" w:color="E68F8A" w:sz="4" w:space="0"/>
            </w:tcBorders>
            <w:shd w:val="clear" w:color="auto" w:fill="F1CAC2"/>
          </w:tcPr>
          <w:p w14:paraId="6ADAD8F1">
            <w:pPr>
              <w:spacing w:line="260" w:lineRule="exact"/>
              <w:rPr>
                <w:rFonts w:ascii="仿宋_GB2312" w:hAnsi="仿宋_GB2312" w:eastAsia="仿宋_GB2312" w:cs="仿宋_GB2312"/>
                <w:sz w:val="24"/>
              </w:rPr>
            </w:pPr>
          </w:p>
        </w:tc>
      </w:tr>
      <w:tr w14:paraId="14C1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jc w:val="center"/>
        </w:trPr>
        <w:tc>
          <w:tcPr>
            <w:tcW w:w="1028" w:type="dxa"/>
            <w:tcBorders>
              <w:top w:val="single" w:color="E68F8A" w:sz="4" w:space="0"/>
              <w:left w:val="single" w:color="DA554F" w:sz="12" w:space="0"/>
              <w:bottom w:val="single" w:color="E68F8A" w:sz="4" w:space="0"/>
              <w:right w:val="single" w:color="E68F8A" w:sz="4" w:space="0"/>
            </w:tcBorders>
            <w:shd w:val="clear" w:color="auto" w:fill="FDF7F6"/>
            <w:vAlign w:val="center"/>
          </w:tcPr>
          <w:p w14:paraId="01A24309">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价格分</w:t>
            </w:r>
          </w:p>
        </w:tc>
        <w:tc>
          <w:tcPr>
            <w:tcW w:w="2571" w:type="dxa"/>
            <w:tcBorders>
              <w:top w:val="single" w:color="E68F8A" w:sz="4" w:space="0"/>
              <w:left w:val="single" w:color="E68F8A" w:sz="4" w:space="0"/>
              <w:bottom w:val="single" w:color="E68F8A" w:sz="4" w:space="0"/>
              <w:right w:val="single" w:color="E68F8A" w:sz="4" w:space="0"/>
            </w:tcBorders>
            <w:shd w:val="clear" w:color="auto" w:fill="F1CAC2"/>
            <w:vAlign w:val="center"/>
          </w:tcPr>
          <w:p w14:paraId="15E53036">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产品报价（满分</w:t>
            </w:r>
            <w:r>
              <w:rPr>
                <w:rFonts w:hint="eastAsia" w:ascii="仿宋_GB2312" w:hAnsi="仿宋_GB2312" w:eastAsia="仿宋_GB2312" w:cs="仿宋_GB2312"/>
                <w:sz w:val="21"/>
                <w:szCs w:val="21"/>
                <w:lang w:val="en-US" w:eastAsia="zh-CN"/>
              </w:rPr>
              <w:t>30</w:t>
            </w:r>
            <w:r>
              <w:rPr>
                <w:rFonts w:hint="eastAsia" w:ascii="仿宋_GB2312" w:hAnsi="仿宋_GB2312" w:eastAsia="仿宋_GB2312" w:cs="仿宋_GB2312"/>
                <w:sz w:val="21"/>
                <w:szCs w:val="21"/>
              </w:rPr>
              <w:t>分)</w:t>
            </w:r>
          </w:p>
          <w:p w14:paraId="600A4C9B">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报价最</w:t>
            </w:r>
            <w:r>
              <w:rPr>
                <w:rFonts w:hint="eastAsia" w:ascii="仿宋_GB2312" w:hAnsi="仿宋_GB2312" w:eastAsia="仿宋_GB2312" w:cs="仿宋_GB2312"/>
                <w:sz w:val="21"/>
                <w:szCs w:val="21"/>
                <w:lang w:eastAsia="zh-CN"/>
              </w:rPr>
              <w:t>低</w:t>
            </w:r>
            <w:r>
              <w:rPr>
                <w:rFonts w:hint="eastAsia" w:ascii="仿宋_GB2312" w:hAnsi="仿宋_GB2312" w:eastAsia="仿宋_GB2312" w:cs="仿宋_GB2312"/>
                <w:sz w:val="21"/>
                <w:szCs w:val="21"/>
              </w:rPr>
              <w:t>得满分</w:t>
            </w:r>
            <w:r>
              <w:rPr>
                <w:rFonts w:hint="eastAsia" w:ascii="仿宋_GB2312" w:hAnsi="仿宋_GB2312" w:eastAsia="仿宋_GB2312" w:cs="仿宋_GB2312"/>
                <w:sz w:val="21"/>
                <w:szCs w:val="21"/>
                <w:lang w:val="en-US" w:eastAsia="zh-CN"/>
              </w:rPr>
              <w:t>30</w:t>
            </w:r>
            <w:r>
              <w:rPr>
                <w:rFonts w:hint="eastAsia" w:ascii="仿宋_GB2312" w:hAnsi="仿宋_GB2312" w:eastAsia="仿宋_GB2312" w:cs="仿宋_GB2312"/>
                <w:sz w:val="21"/>
                <w:szCs w:val="21"/>
              </w:rPr>
              <w:t>分，按报价高低依次递减3分</w:t>
            </w:r>
          </w:p>
        </w:tc>
        <w:tc>
          <w:tcPr>
            <w:tcW w:w="1572" w:type="dxa"/>
            <w:tcBorders>
              <w:top w:val="single" w:color="E68F8A" w:sz="4" w:space="0"/>
              <w:left w:val="single" w:color="E68F8A" w:sz="4" w:space="0"/>
              <w:bottom w:val="single" w:color="E68F8A" w:sz="4" w:space="0"/>
              <w:right w:val="single" w:color="E68F8A" w:sz="4" w:space="0"/>
            </w:tcBorders>
            <w:shd w:val="clear" w:color="auto" w:fill="FDF7F6"/>
            <w:vAlign w:val="center"/>
          </w:tcPr>
          <w:p w14:paraId="3C11875D">
            <w:pPr>
              <w:spacing w:line="260" w:lineRule="exact"/>
              <w:rPr>
                <w:rFonts w:ascii="仿宋_GB2312" w:hAnsi="仿宋_GB2312" w:eastAsia="仿宋_GB2312" w:cs="仿宋_GB2312"/>
                <w:sz w:val="24"/>
              </w:rPr>
            </w:pPr>
          </w:p>
          <w:p w14:paraId="74D674A6">
            <w:pPr>
              <w:spacing w:line="260" w:lineRule="exact"/>
              <w:rPr>
                <w:rFonts w:ascii="仿宋_GB2312" w:hAnsi="仿宋_GB2312" w:eastAsia="仿宋_GB2312" w:cs="仿宋_GB2312"/>
                <w:sz w:val="24"/>
              </w:rPr>
            </w:pPr>
          </w:p>
        </w:tc>
        <w:tc>
          <w:tcPr>
            <w:tcW w:w="1708" w:type="dxa"/>
            <w:tcBorders>
              <w:top w:val="single" w:color="E68F8A" w:sz="4" w:space="0"/>
              <w:left w:val="single" w:color="E68F8A" w:sz="4" w:space="0"/>
              <w:bottom w:val="single" w:color="E68F8A" w:sz="4" w:space="0"/>
              <w:right w:val="single" w:color="DA554F" w:sz="4" w:space="0"/>
            </w:tcBorders>
            <w:shd w:val="clear" w:color="auto" w:fill="F1CAC2"/>
            <w:vAlign w:val="center"/>
          </w:tcPr>
          <w:p w14:paraId="4EF291F7">
            <w:pPr>
              <w:spacing w:line="260" w:lineRule="exact"/>
              <w:rPr>
                <w:rFonts w:ascii="仿宋_GB2312" w:hAnsi="仿宋_GB2312" w:eastAsia="仿宋_GB2312" w:cs="仿宋_GB2312"/>
                <w:sz w:val="24"/>
              </w:rPr>
            </w:pPr>
          </w:p>
          <w:p w14:paraId="34355F4C">
            <w:pPr>
              <w:spacing w:line="260" w:lineRule="exact"/>
              <w:rPr>
                <w:rFonts w:ascii="仿宋_GB2312" w:hAnsi="仿宋_GB2312" w:eastAsia="仿宋_GB2312" w:cs="仿宋_GB2312"/>
                <w:sz w:val="24"/>
              </w:rPr>
            </w:pPr>
          </w:p>
        </w:tc>
        <w:tc>
          <w:tcPr>
            <w:tcW w:w="1799" w:type="dxa"/>
            <w:tcBorders>
              <w:top w:val="single" w:color="E68F8A" w:sz="4" w:space="0"/>
              <w:left w:val="single" w:color="DA554F" w:sz="4" w:space="0"/>
              <w:bottom w:val="single" w:color="E68F8A" w:sz="4" w:space="0"/>
              <w:right w:val="single" w:color="E68F8A" w:sz="4" w:space="0"/>
            </w:tcBorders>
            <w:shd w:val="clear" w:color="auto" w:fill="FDF7F6"/>
            <w:vAlign w:val="center"/>
          </w:tcPr>
          <w:p w14:paraId="7CF3DE8B">
            <w:pPr>
              <w:spacing w:line="260" w:lineRule="exact"/>
              <w:rPr>
                <w:rFonts w:ascii="仿宋_GB2312" w:hAnsi="仿宋_GB2312" w:eastAsia="仿宋_GB2312" w:cs="仿宋_GB2312"/>
                <w:sz w:val="24"/>
              </w:rPr>
            </w:pPr>
          </w:p>
        </w:tc>
        <w:tc>
          <w:tcPr>
            <w:tcW w:w="1639" w:type="dxa"/>
            <w:tcBorders>
              <w:top w:val="single" w:color="E68F8A" w:sz="4" w:space="0"/>
              <w:left w:val="single" w:color="DA554F" w:sz="4" w:space="0"/>
              <w:bottom w:val="single" w:color="E68F8A" w:sz="4" w:space="0"/>
              <w:right w:val="single" w:color="E68F8A" w:sz="4" w:space="0"/>
            </w:tcBorders>
            <w:shd w:val="clear" w:color="auto" w:fill="F1CAC2"/>
          </w:tcPr>
          <w:p w14:paraId="7782038D">
            <w:pPr>
              <w:spacing w:line="260" w:lineRule="exact"/>
              <w:rPr>
                <w:rFonts w:ascii="仿宋_GB2312" w:hAnsi="仿宋_GB2312" w:eastAsia="仿宋_GB2312" w:cs="仿宋_GB2312"/>
                <w:sz w:val="24"/>
              </w:rPr>
            </w:pPr>
          </w:p>
        </w:tc>
      </w:tr>
      <w:tr w14:paraId="3ABA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jc w:val="center"/>
        </w:trPr>
        <w:tc>
          <w:tcPr>
            <w:tcW w:w="1028" w:type="dxa"/>
            <w:tcBorders>
              <w:top w:val="single" w:color="E68F8A" w:sz="4" w:space="0"/>
              <w:left w:val="single" w:color="DA554F" w:sz="12" w:space="0"/>
              <w:bottom w:val="single" w:color="E68F8A" w:sz="4" w:space="0"/>
              <w:right w:val="single" w:color="E68F8A" w:sz="4" w:space="0"/>
            </w:tcBorders>
            <w:shd w:val="clear" w:color="auto" w:fill="FDF7F6"/>
            <w:vAlign w:val="center"/>
          </w:tcPr>
          <w:p w14:paraId="26610446">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工期分</w:t>
            </w:r>
          </w:p>
        </w:tc>
        <w:tc>
          <w:tcPr>
            <w:tcW w:w="2571" w:type="dxa"/>
            <w:tcBorders>
              <w:top w:val="single" w:color="E68F8A" w:sz="4" w:space="0"/>
              <w:left w:val="single" w:color="E68F8A" w:sz="4" w:space="0"/>
              <w:bottom w:val="single" w:color="E68F8A" w:sz="4" w:space="0"/>
              <w:right w:val="single" w:color="E68F8A" w:sz="4" w:space="0"/>
            </w:tcBorders>
            <w:shd w:val="clear" w:color="auto" w:fill="F1CAC2"/>
            <w:vAlign w:val="center"/>
          </w:tcPr>
          <w:p w14:paraId="4CE88CBD">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满分1</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分，满足得1</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分，不满足得</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分</w:t>
            </w:r>
          </w:p>
        </w:tc>
        <w:tc>
          <w:tcPr>
            <w:tcW w:w="1572" w:type="dxa"/>
            <w:tcBorders>
              <w:top w:val="single" w:color="E68F8A" w:sz="4" w:space="0"/>
              <w:left w:val="single" w:color="E68F8A" w:sz="4" w:space="0"/>
              <w:bottom w:val="single" w:color="E68F8A" w:sz="4" w:space="0"/>
              <w:right w:val="single" w:color="E68F8A" w:sz="4" w:space="0"/>
            </w:tcBorders>
            <w:shd w:val="clear" w:color="auto" w:fill="FDF7F6"/>
            <w:vAlign w:val="center"/>
          </w:tcPr>
          <w:p w14:paraId="3AE86A6C">
            <w:pPr>
              <w:spacing w:line="260" w:lineRule="exact"/>
              <w:rPr>
                <w:rFonts w:ascii="仿宋_GB2312" w:hAnsi="仿宋_GB2312" w:eastAsia="仿宋_GB2312" w:cs="仿宋_GB2312"/>
                <w:sz w:val="24"/>
              </w:rPr>
            </w:pPr>
          </w:p>
        </w:tc>
        <w:tc>
          <w:tcPr>
            <w:tcW w:w="1708" w:type="dxa"/>
            <w:tcBorders>
              <w:top w:val="single" w:color="E68F8A" w:sz="4" w:space="0"/>
              <w:left w:val="single" w:color="E68F8A" w:sz="4" w:space="0"/>
              <w:bottom w:val="single" w:color="E68F8A" w:sz="4" w:space="0"/>
              <w:right w:val="single" w:color="DA554F" w:sz="4" w:space="0"/>
            </w:tcBorders>
            <w:shd w:val="clear" w:color="auto" w:fill="F1CAC2"/>
            <w:vAlign w:val="center"/>
          </w:tcPr>
          <w:p w14:paraId="0FFF7687">
            <w:pPr>
              <w:spacing w:line="260" w:lineRule="exact"/>
              <w:rPr>
                <w:rFonts w:ascii="仿宋_GB2312" w:hAnsi="仿宋_GB2312" w:eastAsia="仿宋_GB2312" w:cs="仿宋_GB2312"/>
                <w:sz w:val="24"/>
              </w:rPr>
            </w:pPr>
          </w:p>
        </w:tc>
        <w:tc>
          <w:tcPr>
            <w:tcW w:w="1799" w:type="dxa"/>
            <w:tcBorders>
              <w:top w:val="single" w:color="E68F8A" w:sz="4" w:space="0"/>
              <w:left w:val="single" w:color="DA554F" w:sz="4" w:space="0"/>
              <w:bottom w:val="single" w:color="E68F8A" w:sz="4" w:space="0"/>
              <w:right w:val="single" w:color="E68F8A" w:sz="4" w:space="0"/>
            </w:tcBorders>
            <w:shd w:val="clear" w:color="auto" w:fill="FDF7F6"/>
            <w:vAlign w:val="center"/>
          </w:tcPr>
          <w:p w14:paraId="4863CC44">
            <w:pPr>
              <w:spacing w:line="260" w:lineRule="exact"/>
              <w:rPr>
                <w:rFonts w:ascii="仿宋_GB2312" w:hAnsi="仿宋_GB2312" w:eastAsia="仿宋_GB2312" w:cs="仿宋_GB2312"/>
                <w:sz w:val="24"/>
              </w:rPr>
            </w:pPr>
          </w:p>
        </w:tc>
        <w:tc>
          <w:tcPr>
            <w:tcW w:w="1639" w:type="dxa"/>
            <w:tcBorders>
              <w:top w:val="single" w:color="E68F8A" w:sz="4" w:space="0"/>
              <w:left w:val="single" w:color="DA554F" w:sz="4" w:space="0"/>
              <w:bottom w:val="single" w:color="E68F8A" w:sz="4" w:space="0"/>
              <w:right w:val="single" w:color="E68F8A" w:sz="4" w:space="0"/>
            </w:tcBorders>
            <w:shd w:val="clear" w:color="auto" w:fill="F1CAC2"/>
          </w:tcPr>
          <w:p w14:paraId="72B768C6">
            <w:pPr>
              <w:spacing w:line="260" w:lineRule="exact"/>
              <w:rPr>
                <w:rFonts w:ascii="仿宋_GB2312" w:hAnsi="仿宋_GB2312" w:eastAsia="仿宋_GB2312" w:cs="仿宋_GB2312"/>
                <w:sz w:val="24"/>
              </w:rPr>
            </w:pPr>
          </w:p>
        </w:tc>
      </w:tr>
      <w:tr w14:paraId="1FD5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3599" w:type="dxa"/>
            <w:gridSpan w:val="2"/>
            <w:tcBorders>
              <w:top w:val="single" w:color="E68F8A" w:sz="4" w:space="0"/>
              <w:left w:val="single" w:color="DA554F" w:sz="12" w:space="0"/>
              <w:bottom w:val="single" w:color="E68F8A" w:sz="4" w:space="0"/>
              <w:right w:val="single" w:color="E68F8A" w:sz="4" w:space="0"/>
            </w:tcBorders>
            <w:shd w:val="clear" w:color="auto" w:fill="FDF7F6"/>
            <w:vAlign w:val="center"/>
          </w:tcPr>
          <w:p w14:paraId="4275701C">
            <w:pPr>
              <w:spacing w:line="26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得</w:t>
            </w:r>
            <w:r>
              <w:rPr>
                <w:rFonts w:hint="eastAsia" w:ascii="仿宋_GB2312" w:hAnsi="仿宋_GB2312" w:eastAsia="仿宋_GB2312" w:cs="仿宋_GB2312"/>
                <w:sz w:val="24"/>
              </w:rPr>
              <w:t>分：</w:t>
            </w:r>
          </w:p>
        </w:tc>
        <w:tc>
          <w:tcPr>
            <w:tcW w:w="1572" w:type="dxa"/>
            <w:tcBorders>
              <w:top w:val="single" w:color="E68F8A" w:sz="4" w:space="0"/>
              <w:left w:val="single" w:color="E68F8A" w:sz="4" w:space="0"/>
              <w:bottom w:val="single" w:color="E68F8A" w:sz="4" w:space="0"/>
              <w:right w:val="single" w:color="E68F8A" w:sz="4" w:space="0"/>
            </w:tcBorders>
            <w:shd w:val="clear" w:color="auto" w:fill="F1CAC2"/>
            <w:vAlign w:val="center"/>
          </w:tcPr>
          <w:p w14:paraId="3178F610">
            <w:pPr>
              <w:spacing w:line="260" w:lineRule="exact"/>
              <w:rPr>
                <w:rFonts w:ascii="仿宋_GB2312" w:hAnsi="仿宋_GB2312" w:eastAsia="仿宋_GB2312" w:cs="仿宋_GB2312"/>
                <w:sz w:val="24"/>
              </w:rPr>
            </w:pPr>
          </w:p>
        </w:tc>
        <w:tc>
          <w:tcPr>
            <w:tcW w:w="1708" w:type="dxa"/>
            <w:tcBorders>
              <w:top w:val="single" w:color="E68F8A" w:sz="4" w:space="0"/>
              <w:left w:val="single" w:color="E68F8A" w:sz="4" w:space="0"/>
              <w:bottom w:val="single" w:color="E68F8A" w:sz="4" w:space="0"/>
              <w:right w:val="single" w:color="E68F8A" w:sz="4" w:space="0"/>
            </w:tcBorders>
            <w:shd w:val="clear" w:color="auto" w:fill="FDF7F6"/>
            <w:vAlign w:val="center"/>
          </w:tcPr>
          <w:p w14:paraId="24965CEE">
            <w:pPr>
              <w:spacing w:line="260" w:lineRule="exact"/>
              <w:rPr>
                <w:rFonts w:ascii="仿宋_GB2312" w:hAnsi="仿宋_GB2312" w:eastAsia="仿宋_GB2312" w:cs="仿宋_GB2312"/>
                <w:sz w:val="24"/>
              </w:rPr>
            </w:pPr>
          </w:p>
        </w:tc>
        <w:tc>
          <w:tcPr>
            <w:tcW w:w="1799" w:type="dxa"/>
            <w:tcBorders>
              <w:top w:val="single" w:color="E68F8A" w:sz="4" w:space="0"/>
              <w:left w:val="single" w:color="E68F8A" w:sz="4" w:space="0"/>
              <w:bottom w:val="single" w:color="E68F8A" w:sz="4" w:space="0"/>
              <w:right w:val="single" w:color="DA554F" w:sz="4" w:space="0"/>
            </w:tcBorders>
            <w:shd w:val="clear" w:color="auto" w:fill="F1CAC2"/>
            <w:vAlign w:val="center"/>
          </w:tcPr>
          <w:p w14:paraId="360352D9">
            <w:pPr>
              <w:spacing w:line="260" w:lineRule="exact"/>
              <w:rPr>
                <w:rFonts w:ascii="仿宋_GB2312" w:hAnsi="仿宋_GB2312" w:eastAsia="仿宋_GB2312" w:cs="仿宋_GB2312"/>
                <w:sz w:val="24"/>
              </w:rPr>
            </w:pPr>
          </w:p>
        </w:tc>
        <w:tc>
          <w:tcPr>
            <w:tcW w:w="1639" w:type="dxa"/>
            <w:tcBorders>
              <w:top w:val="single" w:color="E68F8A" w:sz="4" w:space="0"/>
              <w:left w:val="single" w:color="E68F8A" w:sz="4" w:space="0"/>
              <w:bottom w:val="single" w:color="E68F8A" w:sz="4" w:space="0"/>
              <w:right w:val="single" w:color="DA554F" w:sz="4" w:space="0"/>
            </w:tcBorders>
            <w:shd w:val="clear" w:color="auto" w:fill="F1CAC2"/>
          </w:tcPr>
          <w:p w14:paraId="5A51C824">
            <w:pPr>
              <w:spacing w:line="260" w:lineRule="exact"/>
              <w:rPr>
                <w:rFonts w:ascii="仿宋_GB2312" w:hAnsi="仿宋_GB2312" w:eastAsia="仿宋_GB2312" w:cs="仿宋_GB2312"/>
                <w:sz w:val="24"/>
              </w:rPr>
            </w:pPr>
          </w:p>
        </w:tc>
      </w:tr>
    </w:tbl>
    <w:p w14:paraId="19E36747">
      <w:pPr>
        <w:jc w:val="left"/>
        <w:rPr>
          <w:rFonts w:hint="eastAsia"/>
          <w:b/>
          <w:bCs/>
          <w:sz w:val="30"/>
          <w:szCs w:val="30"/>
          <w:lang w:val="en-US" w:eastAsia="zh-CN"/>
        </w:rPr>
      </w:pPr>
    </w:p>
    <w:p w14:paraId="74460B22">
      <w:pPr>
        <w:jc w:val="left"/>
        <w:rPr>
          <w:rFonts w:hint="eastAsia"/>
          <w:b/>
          <w:bCs/>
          <w:sz w:val="30"/>
          <w:szCs w:val="30"/>
          <w:lang w:val="en-US" w:eastAsia="zh-CN"/>
        </w:rPr>
      </w:pPr>
    </w:p>
    <w:p w14:paraId="6B123A5F">
      <w:pPr>
        <w:jc w:val="left"/>
        <w:rPr>
          <w:rFonts w:hint="eastAsia"/>
          <w:b/>
          <w:bCs/>
          <w:sz w:val="30"/>
          <w:szCs w:val="30"/>
          <w:lang w:val="en-US" w:eastAsia="zh-CN"/>
        </w:rPr>
      </w:pPr>
      <w:r>
        <w:rPr>
          <w:rFonts w:hint="eastAsia"/>
          <w:b/>
          <w:bCs/>
          <w:sz w:val="30"/>
          <w:szCs w:val="30"/>
          <w:lang w:val="en-US" w:eastAsia="zh-CN"/>
        </w:rPr>
        <w:t>附件2：</w:t>
      </w:r>
    </w:p>
    <w:p w14:paraId="1B1DC179">
      <w:pPr>
        <w:jc w:val="center"/>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bidi="ar"/>
        </w:rPr>
        <w:t>项目</w:t>
      </w:r>
      <w:r>
        <w:rPr>
          <w:rFonts w:hint="eastAsia" w:ascii="宋体" w:hAnsi="宋体" w:eastAsia="宋体" w:cs="宋体"/>
          <w:b/>
          <w:bCs/>
          <w:color w:val="000000"/>
          <w:kern w:val="0"/>
          <w:sz w:val="30"/>
          <w:szCs w:val="30"/>
          <w:lang w:val="en-US" w:eastAsia="zh-CN" w:bidi="ar"/>
        </w:rPr>
        <w:t>要求</w:t>
      </w:r>
    </w:p>
    <w:p w14:paraId="729BFA27">
      <w:pPr>
        <w:spacing w:line="360" w:lineRule="auto"/>
        <w:ind w:firstLine="301" w:firstLineChars="100"/>
        <w:rPr>
          <w:rFonts w:hint="eastAsia" w:ascii="仿宋_GB2312" w:hAnsi="宋体" w:eastAsia="仿宋_GB2312"/>
          <w:sz w:val="30"/>
          <w:szCs w:val="30"/>
        </w:rPr>
      </w:pPr>
      <w:r>
        <w:rPr>
          <w:rFonts w:hint="eastAsia" w:ascii="仿宋_GB2312" w:hAnsi="宋体" w:eastAsia="仿宋_GB2312"/>
          <w:b/>
          <w:bCs/>
          <w:sz w:val="30"/>
          <w:szCs w:val="30"/>
        </w:rPr>
        <w:t>一、</w:t>
      </w:r>
      <w:r>
        <w:rPr>
          <w:rFonts w:hint="eastAsia" w:ascii="仿宋_GB2312" w:hAnsi="宋体" w:eastAsia="仿宋_GB2312"/>
          <w:b/>
          <w:bCs/>
          <w:sz w:val="30"/>
          <w:szCs w:val="30"/>
          <w:lang w:val="en-US" w:eastAsia="zh-CN"/>
        </w:rPr>
        <w:t>谈判</w:t>
      </w:r>
      <w:r>
        <w:rPr>
          <w:rFonts w:hint="eastAsia" w:ascii="仿宋_GB2312" w:hAnsi="宋体" w:eastAsia="仿宋_GB2312"/>
          <w:b/>
          <w:bCs/>
          <w:sz w:val="30"/>
          <w:szCs w:val="30"/>
        </w:rPr>
        <w:t>须知</w:t>
      </w:r>
    </w:p>
    <w:p w14:paraId="60585D8F">
      <w:pPr>
        <w:spacing w:line="360" w:lineRule="auto"/>
        <w:ind w:left="560"/>
        <w:rPr>
          <w:rFonts w:hint="eastAsia" w:ascii="仿宋_GB2312" w:hAnsi="宋体" w:eastAsia="仿宋_GB2312"/>
          <w:sz w:val="30"/>
          <w:szCs w:val="30"/>
        </w:rPr>
      </w:pPr>
      <w:r>
        <w:rPr>
          <w:rFonts w:hint="eastAsia" w:ascii="仿宋_GB2312" w:hAnsi="宋体" w:eastAsia="仿宋_GB2312"/>
          <w:sz w:val="30"/>
          <w:szCs w:val="30"/>
        </w:rPr>
        <w:t>1、工程说明</w:t>
      </w:r>
    </w:p>
    <w:p w14:paraId="0B49E334">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1.1  工程名称：</w:t>
      </w:r>
      <w:r>
        <w:rPr>
          <w:rFonts w:hint="eastAsia" w:ascii="仿宋_GB2312" w:hAnsi="宋体" w:eastAsia="仿宋_GB2312"/>
          <w:b/>
          <w:sz w:val="30"/>
          <w:szCs w:val="30"/>
        </w:rPr>
        <w:t>外科综合大楼周边及呼吸综合大楼</w:t>
      </w:r>
      <w:r>
        <w:rPr>
          <w:rFonts w:hint="eastAsia" w:ascii="仿宋_GB2312" w:hAnsi="宋体" w:eastAsia="仿宋_GB2312"/>
          <w:b/>
          <w:sz w:val="30"/>
          <w:szCs w:val="30"/>
          <w:lang w:eastAsia="zh-CN"/>
        </w:rPr>
        <w:t>前沥青路面铺设</w:t>
      </w:r>
      <w:r>
        <w:rPr>
          <w:rFonts w:hint="eastAsia" w:ascii="仿宋_GB2312" w:hAnsi="宋体" w:eastAsia="仿宋_GB2312"/>
          <w:b/>
          <w:sz w:val="30"/>
          <w:szCs w:val="30"/>
        </w:rPr>
        <w:t>工程</w:t>
      </w:r>
    </w:p>
    <w:p w14:paraId="7C2F73B1">
      <w:pPr>
        <w:spacing w:line="360" w:lineRule="auto"/>
        <w:ind w:firstLine="576" w:firstLineChars="192"/>
        <w:rPr>
          <w:rFonts w:hint="eastAsia" w:ascii="仿宋_GB2312" w:hAnsi="宋体" w:eastAsia="仿宋_GB2312"/>
          <w:sz w:val="30"/>
          <w:szCs w:val="30"/>
        </w:rPr>
      </w:pPr>
      <w:r>
        <w:rPr>
          <w:rFonts w:hint="eastAsia" w:ascii="仿宋_GB2312" w:hAnsi="宋体" w:eastAsia="仿宋_GB2312"/>
          <w:sz w:val="30"/>
          <w:szCs w:val="30"/>
        </w:rPr>
        <w:t>1.2　本工程按照贵州航天医院的相关规定，通过</w:t>
      </w:r>
      <w:r>
        <w:rPr>
          <w:rFonts w:hint="eastAsia" w:ascii="仿宋_GB2312" w:hAnsi="宋体" w:eastAsia="仿宋_GB2312"/>
          <w:sz w:val="30"/>
          <w:szCs w:val="30"/>
          <w:lang w:val="en-US" w:eastAsia="zh-CN"/>
        </w:rPr>
        <w:t>竞争性磋商</w:t>
      </w:r>
      <w:r>
        <w:rPr>
          <w:rFonts w:hint="eastAsia" w:ascii="仿宋_GB2312" w:hAnsi="宋体" w:eastAsia="仿宋_GB2312"/>
          <w:sz w:val="30"/>
          <w:szCs w:val="30"/>
        </w:rPr>
        <w:t>来选定施工单位。</w:t>
      </w:r>
    </w:p>
    <w:p w14:paraId="1436E367">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1.3　资金来源：自筹资金</w:t>
      </w:r>
    </w:p>
    <w:p w14:paraId="27864BED">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1.4　询价费用：</w:t>
      </w:r>
      <w:r>
        <w:rPr>
          <w:rFonts w:hint="eastAsia" w:ascii="仿宋_GB2312" w:hAnsi="宋体" w:eastAsia="仿宋_GB2312"/>
          <w:sz w:val="30"/>
          <w:szCs w:val="30"/>
          <w:lang w:val="en-US" w:eastAsia="zh-CN"/>
        </w:rPr>
        <w:t>投标</w:t>
      </w:r>
      <w:r>
        <w:rPr>
          <w:rFonts w:hint="eastAsia" w:ascii="仿宋_GB2312" w:hAnsi="宋体" w:eastAsia="仿宋_GB2312"/>
          <w:sz w:val="30"/>
          <w:szCs w:val="30"/>
        </w:rPr>
        <w:t>单位在</w:t>
      </w:r>
      <w:r>
        <w:rPr>
          <w:rFonts w:hint="eastAsia" w:ascii="仿宋_GB2312" w:hAnsi="宋体" w:eastAsia="仿宋_GB2312"/>
          <w:sz w:val="30"/>
          <w:szCs w:val="30"/>
          <w:lang w:val="en-US" w:eastAsia="zh-CN"/>
        </w:rPr>
        <w:t>投标</w:t>
      </w:r>
      <w:r>
        <w:rPr>
          <w:rFonts w:hint="eastAsia" w:ascii="仿宋_GB2312" w:hAnsi="宋体" w:eastAsia="仿宋_GB2312"/>
          <w:sz w:val="30"/>
          <w:szCs w:val="30"/>
        </w:rPr>
        <w:t>过程中产生的一切费用自理。</w:t>
      </w:r>
    </w:p>
    <w:p w14:paraId="0185DE62">
      <w:pPr>
        <w:spacing w:line="360" w:lineRule="auto"/>
        <w:ind w:firstLine="600" w:firstLineChars="200"/>
        <w:rPr>
          <w:rFonts w:hint="eastAsia" w:ascii="仿宋_GB2312" w:eastAsia="仿宋_GB2312"/>
          <w:sz w:val="30"/>
          <w:szCs w:val="30"/>
          <w:lang w:eastAsia="zh-CN"/>
        </w:rPr>
      </w:pPr>
      <w:r>
        <w:rPr>
          <w:rFonts w:hint="eastAsia" w:ascii="仿宋_GB2312" w:eastAsia="仿宋_GB2312"/>
          <w:sz w:val="30"/>
          <w:szCs w:val="30"/>
        </w:rPr>
        <w:t>1.5、本工程质量要求：质量为合格</w:t>
      </w:r>
      <w:r>
        <w:rPr>
          <w:rFonts w:hint="eastAsia" w:ascii="仿宋_GB2312" w:eastAsia="仿宋_GB2312"/>
          <w:sz w:val="30"/>
          <w:szCs w:val="30"/>
          <w:lang w:eastAsia="zh-CN"/>
        </w:rPr>
        <w:t>。</w:t>
      </w:r>
    </w:p>
    <w:p w14:paraId="27B2B179">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1.6、本工程工期要求</w:t>
      </w:r>
      <w:r>
        <w:rPr>
          <w:rFonts w:hint="eastAsia" w:ascii="仿宋_GB2312" w:eastAsia="仿宋_GB2312"/>
          <w:sz w:val="30"/>
          <w:szCs w:val="30"/>
          <w:lang w:eastAsia="zh-CN"/>
        </w:rPr>
        <w:t>：总工期</w:t>
      </w:r>
      <w:r>
        <w:rPr>
          <w:rFonts w:hint="eastAsia" w:ascii="仿宋_GB2312" w:eastAsia="仿宋_GB2312"/>
          <w:sz w:val="30"/>
          <w:szCs w:val="30"/>
          <w:lang w:val="en-US" w:eastAsia="zh-CN"/>
        </w:rPr>
        <w:t>1个月（下雨天除外），签定合同之日起计算</w:t>
      </w:r>
      <w:r>
        <w:rPr>
          <w:rFonts w:hint="eastAsia" w:ascii="仿宋_GB2312" w:eastAsia="仿宋_GB2312"/>
          <w:sz w:val="30"/>
          <w:szCs w:val="30"/>
        </w:rPr>
        <w:t>。</w:t>
      </w:r>
    </w:p>
    <w:p w14:paraId="65097DB4">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1.7、本工程的发包方式：包工包料</w:t>
      </w:r>
    </w:p>
    <w:p w14:paraId="490590BC">
      <w:pPr>
        <w:spacing w:line="360" w:lineRule="auto"/>
        <w:ind w:firstLine="600" w:firstLineChars="200"/>
        <w:rPr>
          <w:rFonts w:hint="eastAsia" w:ascii="楷体_GB2312" w:eastAsia="楷体_GB2312"/>
          <w:sz w:val="30"/>
          <w:szCs w:val="30"/>
        </w:rPr>
      </w:pPr>
      <w:r>
        <w:rPr>
          <w:rFonts w:hint="eastAsia" w:ascii="楷体_GB2312" w:eastAsia="楷体_GB2312"/>
          <w:sz w:val="30"/>
          <w:szCs w:val="30"/>
        </w:rPr>
        <w:t>1.8、踏勘现场时间：在贵州航天医院集中，到工地进行勘查现场。具体时间和医院项目部联系商定；</w:t>
      </w:r>
    </w:p>
    <w:p w14:paraId="1B72DE68">
      <w:pPr>
        <w:spacing w:line="360" w:lineRule="auto"/>
        <w:ind w:firstLine="600" w:firstLineChars="200"/>
        <w:rPr>
          <w:rFonts w:hint="eastAsia" w:ascii="仿宋_GB2312" w:hAnsi="宋体" w:eastAsia="仿宋_GB2312"/>
          <w:sz w:val="30"/>
          <w:szCs w:val="30"/>
        </w:rPr>
      </w:pPr>
      <w:r>
        <w:rPr>
          <w:rFonts w:hint="eastAsia" w:ascii="楷体_GB2312" w:eastAsia="楷体_GB2312"/>
          <w:sz w:val="30"/>
          <w:szCs w:val="30"/>
        </w:rPr>
        <w:t>1.9、询价答疑：请各单位于现场踏勘后第二天下午16：30将书面询价疑问书交到贵州航天医院项目</w:t>
      </w:r>
      <w:r>
        <w:rPr>
          <w:rFonts w:hint="eastAsia" w:ascii="楷体_GB2312" w:eastAsia="楷体_GB2312"/>
          <w:sz w:val="30"/>
          <w:szCs w:val="30"/>
          <w:lang w:eastAsia="zh-CN"/>
        </w:rPr>
        <w:t>办。</w:t>
      </w:r>
    </w:p>
    <w:p w14:paraId="684BD993">
      <w:pPr>
        <w:spacing w:line="360" w:lineRule="auto"/>
        <w:ind w:firstLine="600" w:firstLineChars="200"/>
        <w:rPr>
          <w:rFonts w:hint="eastAsia" w:ascii="仿宋_GB2312" w:hAnsi="Times New Roman" w:eastAsia="仿宋_GB2312" w:cs="Times New Roman"/>
          <w:sz w:val="30"/>
          <w:szCs w:val="30"/>
        </w:rPr>
      </w:pPr>
    </w:p>
    <w:p w14:paraId="44D34F39">
      <w:pPr>
        <w:spacing w:line="360" w:lineRule="auto"/>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2、报价说明</w:t>
      </w:r>
    </w:p>
    <w:p w14:paraId="4050A4AF">
      <w:pPr>
        <w:spacing w:line="360" w:lineRule="auto"/>
        <w:ind w:firstLine="600" w:firstLineChars="200"/>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rPr>
        <w:t>2.1　</w:t>
      </w:r>
      <w:r>
        <w:rPr>
          <w:rFonts w:hint="eastAsia" w:ascii="仿宋_GB2312" w:hAnsi="Times New Roman" w:eastAsia="仿宋_GB2312" w:cs="Times New Roman"/>
          <w:b/>
          <w:bCs/>
          <w:sz w:val="30"/>
          <w:szCs w:val="30"/>
          <w:lang w:val="en-US" w:eastAsia="zh-CN"/>
        </w:rPr>
        <w:t>本工程拦标价为57万元整；</w:t>
      </w:r>
      <w:r>
        <w:rPr>
          <w:rFonts w:hint="eastAsia" w:ascii="仿宋_GB2312" w:hAnsi="Times New Roman" w:eastAsia="仿宋_GB2312" w:cs="Times New Roman"/>
          <w:sz w:val="30"/>
          <w:szCs w:val="30"/>
          <w:lang w:val="en-US" w:eastAsia="zh-CN"/>
        </w:rPr>
        <w:t>投标</w:t>
      </w:r>
      <w:r>
        <w:rPr>
          <w:rFonts w:hint="eastAsia" w:ascii="仿宋_GB2312" w:hAnsi="Times New Roman" w:eastAsia="仿宋_GB2312" w:cs="Times New Roman"/>
          <w:sz w:val="30"/>
          <w:szCs w:val="30"/>
        </w:rPr>
        <w:t>单位</w:t>
      </w:r>
      <w:r>
        <w:rPr>
          <w:rFonts w:hint="eastAsia" w:ascii="仿宋_GB2312" w:hAnsi="Times New Roman" w:eastAsia="仿宋_GB2312" w:cs="Times New Roman"/>
          <w:sz w:val="30"/>
          <w:szCs w:val="30"/>
          <w:lang w:val="en-US" w:eastAsia="zh-CN"/>
        </w:rPr>
        <w:t>投标</w:t>
      </w:r>
      <w:r>
        <w:rPr>
          <w:rFonts w:hint="eastAsia" w:ascii="仿宋_GB2312" w:hAnsi="Times New Roman" w:eastAsia="仿宋_GB2312" w:cs="Times New Roman"/>
          <w:sz w:val="30"/>
          <w:szCs w:val="30"/>
        </w:rPr>
        <w:t>价格应完成外科综合大楼周边及呼吸综合大楼正面广场路面改造工程方案所确定</w:t>
      </w:r>
      <w:r>
        <w:rPr>
          <w:rFonts w:hint="eastAsia" w:ascii="仿宋_GB2312" w:hAnsi="Times New Roman" w:eastAsia="仿宋_GB2312" w:cs="Times New Roman"/>
          <w:sz w:val="30"/>
          <w:szCs w:val="30"/>
          <w:lang w:val="en-US" w:eastAsia="zh-CN"/>
        </w:rPr>
        <w:t>谈判文件</w:t>
      </w:r>
      <w:r>
        <w:rPr>
          <w:rFonts w:hint="eastAsia" w:ascii="仿宋_GB2312" w:hAnsi="Times New Roman" w:eastAsia="仿宋_GB2312" w:cs="Times New Roman"/>
          <w:sz w:val="30"/>
          <w:szCs w:val="30"/>
        </w:rPr>
        <w:t>范围规定的全部工程内容的各项费用的总和</w:t>
      </w:r>
      <w:r>
        <w:rPr>
          <w:rFonts w:hint="eastAsia" w:ascii="仿宋_GB2312" w:hAnsi="Times New Roman" w:eastAsia="仿宋_GB2312" w:cs="Times New Roman"/>
          <w:sz w:val="30"/>
          <w:szCs w:val="30"/>
          <w:lang w:eastAsia="zh-CN"/>
        </w:rPr>
        <w:t>；</w:t>
      </w:r>
    </w:p>
    <w:p w14:paraId="09945428">
      <w:pPr>
        <w:spacing w:line="360" w:lineRule="auto"/>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2.2　本工程</w:t>
      </w:r>
      <w:r>
        <w:rPr>
          <w:rFonts w:hint="eastAsia" w:ascii="仿宋_GB2312" w:hAnsi="Times New Roman" w:eastAsia="仿宋_GB2312" w:cs="Times New Roman"/>
          <w:sz w:val="30"/>
          <w:szCs w:val="30"/>
          <w:lang w:val="en-US" w:eastAsia="zh-CN"/>
        </w:rPr>
        <w:t>谈判文件</w:t>
      </w:r>
      <w:r>
        <w:rPr>
          <w:rFonts w:hint="eastAsia" w:ascii="仿宋_GB2312" w:hAnsi="Times New Roman" w:eastAsia="仿宋_GB2312" w:cs="Times New Roman"/>
          <w:sz w:val="30"/>
          <w:szCs w:val="30"/>
        </w:rPr>
        <w:t>的工程量按照外科综合大楼周边及呼吸综合大楼正面广场路面改造工程方案和实地测量计算。报价为此</w:t>
      </w:r>
      <w:r>
        <w:rPr>
          <w:rFonts w:hint="eastAsia" w:ascii="仿宋_GB2312" w:hAnsi="Times New Roman" w:eastAsia="仿宋_GB2312" w:cs="Times New Roman"/>
          <w:sz w:val="30"/>
          <w:szCs w:val="30"/>
          <w:lang w:val="en-US" w:eastAsia="zh-CN"/>
        </w:rPr>
        <w:t>谈判文件</w:t>
      </w:r>
      <w:r>
        <w:rPr>
          <w:rFonts w:hint="eastAsia" w:ascii="仿宋_GB2312" w:hAnsi="Times New Roman" w:eastAsia="仿宋_GB2312" w:cs="Times New Roman"/>
          <w:sz w:val="30"/>
          <w:szCs w:val="30"/>
        </w:rPr>
        <w:t>范围的全部内容，包含各种措施费，报价中的漏算、错算均由</w:t>
      </w:r>
      <w:r>
        <w:rPr>
          <w:rFonts w:hint="eastAsia" w:ascii="仿宋_GB2312" w:hAnsi="Times New Roman" w:eastAsia="仿宋_GB2312" w:cs="Times New Roman"/>
          <w:sz w:val="30"/>
          <w:szCs w:val="30"/>
          <w:lang w:val="en-US" w:eastAsia="zh-CN"/>
        </w:rPr>
        <w:t>投标</w:t>
      </w:r>
      <w:r>
        <w:rPr>
          <w:rFonts w:hint="eastAsia" w:ascii="仿宋_GB2312" w:hAnsi="Times New Roman" w:eastAsia="仿宋_GB2312" w:cs="Times New Roman"/>
          <w:sz w:val="30"/>
          <w:szCs w:val="30"/>
        </w:rPr>
        <w:t>人负责，中标后不作调整。</w:t>
      </w:r>
    </w:p>
    <w:p w14:paraId="635B16D8">
      <w:pPr>
        <w:spacing w:line="360" w:lineRule="auto"/>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2.3　</w:t>
      </w:r>
      <w:r>
        <w:rPr>
          <w:rFonts w:hint="eastAsia" w:ascii="仿宋_GB2312" w:hAnsi="Times New Roman" w:eastAsia="仿宋_GB2312" w:cs="Times New Roman"/>
          <w:sz w:val="30"/>
          <w:szCs w:val="30"/>
          <w:lang w:val="en-US" w:eastAsia="zh-CN"/>
        </w:rPr>
        <w:t>投标文件</w:t>
      </w:r>
      <w:r>
        <w:rPr>
          <w:rFonts w:hint="eastAsia" w:ascii="仿宋_GB2312" w:hAnsi="Times New Roman" w:eastAsia="仿宋_GB2312" w:cs="Times New Roman"/>
          <w:sz w:val="30"/>
          <w:szCs w:val="30"/>
        </w:rPr>
        <w:t>报价的计算依据：投标单位应根据</w:t>
      </w:r>
      <w:r>
        <w:rPr>
          <w:rFonts w:hint="eastAsia" w:ascii="仿宋_GB2312" w:hAnsi="Times New Roman" w:eastAsia="仿宋_GB2312" w:cs="Times New Roman"/>
          <w:sz w:val="30"/>
          <w:szCs w:val="30"/>
          <w:lang w:val="en-US" w:eastAsia="zh-CN"/>
        </w:rPr>
        <w:t>贵州省</w:t>
      </w:r>
      <w:r>
        <w:rPr>
          <w:rFonts w:hint="eastAsia" w:ascii="仿宋_GB2312" w:hAnsi="Times New Roman" w:eastAsia="仿宋_GB2312" w:cs="Times New Roman"/>
          <w:sz w:val="30"/>
          <w:szCs w:val="30"/>
        </w:rPr>
        <w:t>16定额及相关调差文件并结合市场价、自身情况自行进行测算报价。并考虑施工期间物价变动的因素一次进入</w:t>
      </w:r>
      <w:r>
        <w:rPr>
          <w:rFonts w:hint="eastAsia" w:ascii="仿宋_GB2312" w:hAnsi="Times New Roman" w:eastAsia="仿宋_GB2312" w:cs="Times New Roman"/>
          <w:sz w:val="30"/>
          <w:szCs w:val="30"/>
          <w:lang w:val="en-US" w:eastAsia="zh-CN"/>
        </w:rPr>
        <w:t>投标</w:t>
      </w:r>
      <w:r>
        <w:rPr>
          <w:rFonts w:hint="eastAsia" w:ascii="仿宋_GB2312" w:hAnsi="Times New Roman" w:eastAsia="仿宋_GB2312" w:cs="Times New Roman"/>
          <w:sz w:val="30"/>
          <w:szCs w:val="30"/>
        </w:rPr>
        <w:t>总价。中标后不作任何调整。</w:t>
      </w:r>
    </w:p>
    <w:p w14:paraId="3C8DE98F">
      <w:pPr>
        <w:spacing w:line="360" w:lineRule="auto"/>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2.4 按照规定应该计取的费用而未计取视为</w:t>
      </w:r>
      <w:r>
        <w:rPr>
          <w:rFonts w:hint="eastAsia" w:ascii="仿宋_GB2312" w:hAnsi="Times New Roman" w:eastAsia="仿宋_GB2312" w:cs="Times New Roman"/>
          <w:sz w:val="30"/>
          <w:szCs w:val="30"/>
          <w:lang w:val="en-US" w:eastAsia="zh-CN"/>
        </w:rPr>
        <w:t>投标人</w:t>
      </w:r>
      <w:r>
        <w:rPr>
          <w:rFonts w:hint="eastAsia" w:ascii="仿宋_GB2312" w:hAnsi="Times New Roman" w:eastAsia="仿宋_GB2312" w:cs="Times New Roman"/>
          <w:sz w:val="30"/>
          <w:szCs w:val="30"/>
        </w:rPr>
        <w:t>自动优惠给</w:t>
      </w:r>
      <w:r>
        <w:rPr>
          <w:rFonts w:hint="eastAsia" w:ascii="仿宋_GB2312" w:hAnsi="Times New Roman" w:eastAsia="仿宋_GB2312" w:cs="Times New Roman"/>
          <w:sz w:val="30"/>
          <w:szCs w:val="30"/>
          <w:lang w:val="en-US" w:eastAsia="zh-CN"/>
        </w:rPr>
        <w:t>招标人</w:t>
      </w:r>
      <w:r>
        <w:rPr>
          <w:rFonts w:hint="eastAsia" w:ascii="仿宋_GB2312" w:hAnsi="Times New Roman" w:eastAsia="仿宋_GB2312" w:cs="Times New Roman"/>
          <w:sz w:val="30"/>
          <w:szCs w:val="30"/>
        </w:rPr>
        <w:t>，在</w:t>
      </w:r>
      <w:r>
        <w:rPr>
          <w:rFonts w:hint="eastAsia" w:ascii="仿宋_GB2312" w:hAnsi="Times New Roman" w:eastAsia="仿宋_GB2312" w:cs="Times New Roman"/>
          <w:sz w:val="30"/>
          <w:szCs w:val="30"/>
          <w:lang w:val="en-US" w:eastAsia="zh-CN"/>
        </w:rPr>
        <w:t>投标</w:t>
      </w:r>
      <w:r>
        <w:rPr>
          <w:rFonts w:hint="eastAsia" w:ascii="仿宋_GB2312" w:hAnsi="Times New Roman" w:eastAsia="仿宋_GB2312" w:cs="Times New Roman"/>
          <w:sz w:val="30"/>
          <w:szCs w:val="30"/>
        </w:rPr>
        <w:t>文件中应计取的费用因不清楚而又不在答疑中提出，并且未计取的均视为包含在</w:t>
      </w:r>
      <w:r>
        <w:rPr>
          <w:rFonts w:hint="eastAsia" w:ascii="仿宋_GB2312" w:hAnsi="Times New Roman" w:eastAsia="仿宋_GB2312" w:cs="Times New Roman"/>
          <w:sz w:val="30"/>
          <w:szCs w:val="30"/>
          <w:lang w:val="en-US" w:eastAsia="zh-CN"/>
        </w:rPr>
        <w:t>投标人</w:t>
      </w:r>
      <w:r>
        <w:rPr>
          <w:rFonts w:hint="eastAsia" w:ascii="仿宋_GB2312" w:hAnsi="Times New Roman" w:eastAsia="仿宋_GB2312" w:cs="Times New Roman"/>
          <w:sz w:val="30"/>
          <w:szCs w:val="30"/>
        </w:rPr>
        <w:t>的总报价内。</w:t>
      </w:r>
    </w:p>
    <w:p w14:paraId="6F7DE86D">
      <w:pPr>
        <w:spacing w:line="360" w:lineRule="auto"/>
        <w:ind w:firstLine="600" w:firstLineChars="200"/>
        <w:rPr>
          <w:rFonts w:hint="eastAsia" w:ascii="仿宋_GB2312" w:hAnsi="Times New Roman" w:eastAsia="仿宋_GB2312" w:cs="Times New Roman"/>
          <w:sz w:val="30"/>
          <w:szCs w:val="30"/>
        </w:rPr>
      </w:pPr>
    </w:p>
    <w:p w14:paraId="3ACCC3D3">
      <w:pPr>
        <w:spacing w:line="360" w:lineRule="auto"/>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3　</w:t>
      </w:r>
      <w:r>
        <w:rPr>
          <w:rFonts w:hint="eastAsia" w:ascii="仿宋_GB2312" w:hAnsi="Times New Roman" w:eastAsia="仿宋_GB2312" w:cs="Times New Roman"/>
          <w:sz w:val="30"/>
          <w:szCs w:val="30"/>
          <w:lang w:val="en-US" w:eastAsia="zh-CN"/>
        </w:rPr>
        <w:t>谈判</w:t>
      </w:r>
      <w:r>
        <w:rPr>
          <w:rFonts w:hint="eastAsia" w:ascii="仿宋_GB2312" w:hAnsi="Times New Roman" w:eastAsia="仿宋_GB2312" w:cs="Times New Roman"/>
          <w:sz w:val="30"/>
          <w:szCs w:val="30"/>
        </w:rPr>
        <w:t>文件的编制</w:t>
      </w:r>
    </w:p>
    <w:p w14:paraId="023C3190">
      <w:pPr>
        <w:spacing w:line="360" w:lineRule="auto"/>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3.1　</w:t>
      </w:r>
      <w:r>
        <w:rPr>
          <w:rFonts w:hint="eastAsia" w:ascii="仿宋_GB2312" w:hAnsi="Times New Roman" w:eastAsia="仿宋_GB2312" w:cs="Times New Roman"/>
          <w:sz w:val="30"/>
          <w:szCs w:val="30"/>
          <w:lang w:val="en-US" w:eastAsia="zh-CN"/>
        </w:rPr>
        <w:t>竞争性谈判</w:t>
      </w:r>
      <w:r>
        <w:rPr>
          <w:rFonts w:hint="eastAsia" w:ascii="仿宋_GB2312" w:hAnsi="Times New Roman" w:eastAsia="仿宋_GB2312" w:cs="Times New Roman"/>
          <w:sz w:val="30"/>
          <w:szCs w:val="30"/>
        </w:rPr>
        <w:t>文件语言：</w:t>
      </w:r>
      <w:r>
        <w:rPr>
          <w:rFonts w:hint="eastAsia" w:ascii="仿宋_GB2312" w:hAnsi="Times New Roman" w:eastAsia="仿宋_GB2312" w:cs="Times New Roman"/>
          <w:sz w:val="30"/>
          <w:szCs w:val="30"/>
          <w:lang w:val="en-US" w:eastAsia="zh-CN"/>
        </w:rPr>
        <w:t>招标</w:t>
      </w:r>
      <w:r>
        <w:rPr>
          <w:rFonts w:hint="eastAsia" w:ascii="仿宋_GB2312" w:hAnsi="Times New Roman" w:eastAsia="仿宋_GB2312" w:cs="Times New Roman"/>
          <w:sz w:val="30"/>
          <w:szCs w:val="30"/>
        </w:rPr>
        <w:t>文件及</w:t>
      </w:r>
      <w:r>
        <w:rPr>
          <w:rFonts w:hint="eastAsia" w:ascii="仿宋_GB2312" w:hAnsi="Times New Roman" w:eastAsia="仿宋_GB2312" w:cs="Times New Roman"/>
          <w:sz w:val="30"/>
          <w:szCs w:val="30"/>
          <w:lang w:val="en-US" w:eastAsia="zh-CN"/>
        </w:rPr>
        <w:t>投标人</w:t>
      </w:r>
      <w:r>
        <w:rPr>
          <w:rFonts w:hint="eastAsia" w:ascii="仿宋_GB2312" w:hAnsi="Times New Roman" w:eastAsia="仿宋_GB2312" w:cs="Times New Roman"/>
          <w:sz w:val="30"/>
          <w:szCs w:val="30"/>
        </w:rPr>
        <w:t>与</w:t>
      </w:r>
      <w:r>
        <w:rPr>
          <w:rFonts w:hint="eastAsia" w:ascii="仿宋_GB2312" w:hAnsi="Times New Roman" w:eastAsia="仿宋_GB2312" w:cs="Times New Roman"/>
          <w:sz w:val="30"/>
          <w:szCs w:val="30"/>
          <w:lang w:val="en-US" w:eastAsia="zh-CN"/>
        </w:rPr>
        <w:t>招标人</w:t>
      </w:r>
      <w:r>
        <w:rPr>
          <w:rFonts w:hint="eastAsia" w:ascii="仿宋_GB2312" w:hAnsi="Times New Roman" w:eastAsia="仿宋_GB2312" w:cs="Times New Roman"/>
          <w:sz w:val="30"/>
          <w:szCs w:val="30"/>
        </w:rPr>
        <w:t>之间与</w:t>
      </w:r>
      <w:r>
        <w:rPr>
          <w:rFonts w:hint="eastAsia" w:ascii="仿宋_GB2312" w:hAnsi="Times New Roman" w:eastAsia="仿宋_GB2312" w:cs="Times New Roman"/>
          <w:sz w:val="30"/>
          <w:szCs w:val="30"/>
          <w:lang w:val="en-US" w:eastAsia="zh-CN"/>
        </w:rPr>
        <w:t>竞争性谈判</w:t>
      </w:r>
      <w:r>
        <w:rPr>
          <w:rFonts w:hint="eastAsia" w:ascii="仿宋_GB2312" w:hAnsi="Times New Roman" w:eastAsia="仿宋_GB2312" w:cs="Times New Roman"/>
          <w:sz w:val="30"/>
          <w:szCs w:val="30"/>
        </w:rPr>
        <w:t>有关的来往通知，函件和文件均使用中文。</w:t>
      </w:r>
    </w:p>
    <w:p w14:paraId="53212AC5">
      <w:pPr>
        <w:spacing w:line="360" w:lineRule="auto"/>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3.2　</w:t>
      </w:r>
      <w:r>
        <w:rPr>
          <w:rFonts w:hint="eastAsia" w:ascii="仿宋_GB2312" w:hAnsi="Times New Roman" w:eastAsia="仿宋_GB2312" w:cs="Times New Roman"/>
          <w:sz w:val="30"/>
          <w:szCs w:val="30"/>
          <w:lang w:val="en-US" w:eastAsia="zh-CN"/>
        </w:rPr>
        <w:t>竞争性谈判</w:t>
      </w:r>
      <w:r>
        <w:rPr>
          <w:rFonts w:hint="eastAsia" w:ascii="仿宋_GB2312" w:hAnsi="Times New Roman" w:eastAsia="仿宋_GB2312" w:cs="Times New Roman"/>
          <w:sz w:val="30"/>
          <w:szCs w:val="30"/>
        </w:rPr>
        <w:t>文件的组成</w:t>
      </w:r>
    </w:p>
    <w:p w14:paraId="47484443">
      <w:pPr>
        <w:spacing w:line="360" w:lineRule="auto"/>
        <w:ind w:firstLine="600" w:firstLineChars="200"/>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3.2.1</w:t>
      </w:r>
      <w:r>
        <w:rPr>
          <w:rFonts w:hint="eastAsia" w:ascii="仿宋_GB2312" w:hAnsi="Times New Roman" w:eastAsia="仿宋_GB2312" w:cs="Times New Roman"/>
          <w:sz w:val="30"/>
          <w:szCs w:val="30"/>
        </w:rPr>
        <w:t>企业法人营业执照</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lang w:val="en-US" w:eastAsia="zh-CN"/>
        </w:rPr>
        <w:t>资质证书</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安全生产许可证</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lang w:val="en-US" w:eastAsia="zh-CN"/>
        </w:rPr>
        <w:t>承担本项目的项目经理二级</w:t>
      </w:r>
      <w:r>
        <w:rPr>
          <w:rFonts w:hint="eastAsia" w:ascii="仿宋_GB2312" w:hAnsi="Times New Roman" w:eastAsia="仿宋_GB2312" w:cs="Times New Roman"/>
          <w:sz w:val="30"/>
          <w:szCs w:val="30"/>
        </w:rPr>
        <w:t>建筑工程专业注册建造师</w:t>
      </w:r>
      <w:r>
        <w:rPr>
          <w:rFonts w:hint="eastAsia" w:ascii="仿宋_GB2312" w:hAnsi="Times New Roman" w:eastAsia="仿宋_GB2312" w:cs="Times New Roman"/>
          <w:sz w:val="30"/>
          <w:szCs w:val="30"/>
          <w:lang w:val="en-US" w:eastAsia="zh-CN"/>
        </w:rPr>
        <w:t>证书.施工方案，工程案例等。</w:t>
      </w:r>
    </w:p>
    <w:p w14:paraId="324E7A09">
      <w:pPr>
        <w:spacing w:line="360" w:lineRule="auto"/>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lang w:val="en-US" w:eastAsia="zh-CN"/>
        </w:rPr>
        <w:t>3.2.2报</w:t>
      </w:r>
      <w:r>
        <w:rPr>
          <w:rFonts w:hint="eastAsia" w:ascii="仿宋_GB2312" w:hAnsi="Times New Roman" w:eastAsia="仿宋_GB2312" w:cs="Times New Roman"/>
          <w:sz w:val="30"/>
          <w:szCs w:val="30"/>
        </w:rPr>
        <w:t>价书、工程造价预算书、工程报价汇总表等内容。整个</w:t>
      </w:r>
      <w:r>
        <w:rPr>
          <w:rFonts w:hint="eastAsia" w:ascii="仿宋_GB2312" w:hAnsi="Times New Roman" w:eastAsia="仿宋_GB2312" w:cs="Times New Roman"/>
          <w:sz w:val="30"/>
          <w:szCs w:val="30"/>
          <w:lang w:val="en-US" w:eastAsia="zh-CN"/>
        </w:rPr>
        <w:t>投标</w:t>
      </w:r>
      <w:r>
        <w:rPr>
          <w:rFonts w:hint="eastAsia" w:ascii="仿宋_GB2312" w:hAnsi="Times New Roman" w:eastAsia="仿宋_GB2312" w:cs="Times New Roman"/>
          <w:sz w:val="30"/>
          <w:szCs w:val="30"/>
        </w:rPr>
        <w:t>文件为一个密封包装。</w:t>
      </w:r>
    </w:p>
    <w:p w14:paraId="2C7DA169">
      <w:pPr>
        <w:spacing w:line="360" w:lineRule="auto"/>
        <w:ind w:firstLine="576" w:firstLineChars="192"/>
        <w:jc w:val="center"/>
        <w:rPr>
          <w:rFonts w:hint="eastAsia" w:ascii="仿宋_GB2312" w:hAnsi="宋体" w:eastAsia="仿宋_GB2312"/>
          <w:sz w:val="30"/>
          <w:szCs w:val="30"/>
        </w:rPr>
      </w:pPr>
    </w:p>
    <w:p w14:paraId="103528C3">
      <w:pPr>
        <w:spacing w:line="360" w:lineRule="auto"/>
        <w:ind w:firstLine="602" w:firstLineChars="200"/>
        <w:rPr>
          <w:rFonts w:hint="eastAsia" w:ascii="仿宋_GB2312" w:hAnsi="宋体" w:eastAsia="仿宋_GB2312"/>
          <w:b/>
          <w:bCs/>
          <w:sz w:val="30"/>
          <w:szCs w:val="30"/>
        </w:rPr>
      </w:pPr>
      <w:r>
        <w:rPr>
          <w:rFonts w:hint="eastAsia" w:ascii="仿宋_GB2312" w:hAnsi="宋体" w:eastAsia="仿宋_GB2312"/>
          <w:b/>
          <w:bCs/>
          <w:sz w:val="30"/>
          <w:szCs w:val="30"/>
        </w:rPr>
        <w:t>二、</w:t>
      </w:r>
      <w:r>
        <w:rPr>
          <w:rFonts w:hint="eastAsia" w:ascii="仿宋_GB2312" w:hAnsi="宋体" w:eastAsia="仿宋_GB2312"/>
          <w:b/>
          <w:bCs/>
          <w:sz w:val="30"/>
          <w:szCs w:val="30"/>
          <w:lang w:val="en-US" w:eastAsia="zh-CN"/>
        </w:rPr>
        <w:t>竞争性谈判</w:t>
      </w:r>
      <w:r>
        <w:rPr>
          <w:rFonts w:hint="eastAsia" w:ascii="仿宋_GB2312" w:hAnsi="宋体" w:eastAsia="仿宋_GB2312"/>
          <w:b/>
          <w:bCs/>
          <w:sz w:val="30"/>
          <w:szCs w:val="30"/>
        </w:rPr>
        <w:t>范围</w:t>
      </w:r>
    </w:p>
    <w:p w14:paraId="4FA33F8C">
      <w:pPr>
        <w:rPr>
          <w:rFonts w:hint="eastAsia" w:ascii="仿宋_GB2312" w:eastAsia="仿宋_GB2312"/>
          <w:sz w:val="30"/>
          <w:szCs w:val="30"/>
        </w:rPr>
      </w:pPr>
      <w:r>
        <w:rPr>
          <w:rFonts w:hint="eastAsia" w:ascii="仿宋_GB2312" w:eastAsia="仿宋_GB2312"/>
          <w:b/>
          <w:bCs/>
          <w:sz w:val="30"/>
          <w:szCs w:val="30"/>
          <w:lang w:eastAsia="zh-CN"/>
        </w:rPr>
        <w:drawing>
          <wp:inline distT="0" distB="0" distL="114300" distR="114300">
            <wp:extent cx="5627370" cy="3933825"/>
            <wp:effectExtent l="0" t="0" r="11430" b="9525"/>
            <wp:docPr id="2" name="图片 1" descr="沥青路面铺设分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沥青路面铺设分布图"/>
                    <pic:cNvPicPr>
                      <a:picLocks noChangeAspect="1"/>
                    </pic:cNvPicPr>
                  </pic:nvPicPr>
                  <pic:blipFill>
                    <a:blip r:embed="rId4"/>
                    <a:stretch>
                      <a:fillRect/>
                    </a:stretch>
                  </pic:blipFill>
                  <pic:spPr>
                    <a:xfrm>
                      <a:off x="0" y="0"/>
                      <a:ext cx="5627370" cy="3933825"/>
                    </a:xfrm>
                    <a:prstGeom prst="rect">
                      <a:avLst/>
                    </a:prstGeom>
                    <a:noFill/>
                    <a:ln>
                      <a:noFill/>
                    </a:ln>
                  </pic:spPr>
                </pic:pic>
              </a:graphicData>
            </a:graphic>
          </wp:inline>
        </w:drawing>
      </w:r>
      <w:r>
        <w:rPr>
          <w:rFonts w:hint="eastAsia" w:ascii="仿宋_GB2312" w:eastAsia="仿宋_GB2312"/>
          <w:sz w:val="30"/>
          <w:szCs w:val="30"/>
        </w:rPr>
        <w:t xml:space="preserve">  </w:t>
      </w:r>
    </w:p>
    <w:p w14:paraId="78D866C4">
      <w:pPr>
        <w:rPr>
          <w:rFonts w:ascii="仿宋_GB2312" w:eastAsia="仿宋_GB2312"/>
          <w:b/>
          <w:bCs/>
          <w:sz w:val="30"/>
          <w:szCs w:val="30"/>
        </w:rPr>
      </w:pPr>
      <w:r>
        <w:rPr>
          <w:rFonts w:hint="eastAsia" w:ascii="仿宋_GB2312" w:eastAsia="仿宋_GB2312"/>
          <w:sz w:val="30"/>
          <w:szCs w:val="30"/>
        </w:rPr>
        <w:t xml:space="preserve">  </w:t>
      </w:r>
      <w:r>
        <w:rPr>
          <w:rFonts w:hint="eastAsia" w:ascii="仿宋_GB2312" w:eastAsia="仿宋_GB2312"/>
          <w:b/>
          <w:bCs/>
          <w:sz w:val="30"/>
          <w:szCs w:val="30"/>
        </w:rPr>
        <w:t xml:space="preserve"> 　</w:t>
      </w:r>
    </w:p>
    <w:tbl>
      <w:tblPr>
        <w:tblStyle w:val="14"/>
        <w:tblW w:w="826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4"/>
        <w:gridCol w:w="5685"/>
        <w:gridCol w:w="840"/>
        <w:gridCol w:w="990"/>
      </w:tblGrid>
      <w:tr w14:paraId="7E8B92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754" w:type="dxa"/>
            <w:tcBorders>
              <w:top w:val="single" w:color="auto" w:sz="6" w:space="0"/>
              <w:left w:val="single" w:color="auto" w:sz="12" w:space="0"/>
              <w:bottom w:val="single" w:color="auto" w:sz="6" w:space="0"/>
              <w:right w:val="single" w:color="auto" w:sz="6" w:space="0"/>
            </w:tcBorders>
            <w:noWrap w:val="0"/>
            <w:vAlign w:val="center"/>
          </w:tcPr>
          <w:p w14:paraId="4D5D4786">
            <w:pPr>
              <w:pStyle w:val="34"/>
              <w:rPr>
                <w:sz w:val="24"/>
                <w:szCs w:val="24"/>
              </w:rPr>
            </w:pPr>
            <w:r>
              <w:rPr>
                <w:rFonts w:hint="eastAsia"/>
                <w:sz w:val="24"/>
                <w:szCs w:val="24"/>
              </w:rPr>
              <w:t>序号</w:t>
            </w:r>
          </w:p>
        </w:tc>
        <w:tc>
          <w:tcPr>
            <w:tcW w:w="5685" w:type="dxa"/>
            <w:tcBorders>
              <w:top w:val="single" w:color="auto" w:sz="6" w:space="0"/>
              <w:left w:val="single" w:color="auto" w:sz="6" w:space="0"/>
              <w:bottom w:val="single" w:color="auto" w:sz="6" w:space="0"/>
              <w:right w:val="single" w:color="auto" w:sz="8" w:space="0"/>
            </w:tcBorders>
            <w:noWrap w:val="0"/>
            <w:vAlign w:val="center"/>
          </w:tcPr>
          <w:p w14:paraId="292A5084">
            <w:pPr>
              <w:pStyle w:val="34"/>
              <w:rPr>
                <w:sz w:val="24"/>
                <w:szCs w:val="24"/>
              </w:rPr>
            </w:pPr>
            <w:r>
              <w:rPr>
                <w:rFonts w:hint="eastAsia"/>
                <w:sz w:val="24"/>
                <w:szCs w:val="24"/>
              </w:rPr>
              <w:t>明细名称</w:t>
            </w:r>
          </w:p>
        </w:tc>
        <w:tc>
          <w:tcPr>
            <w:tcW w:w="840" w:type="dxa"/>
            <w:tcBorders>
              <w:top w:val="single" w:color="auto" w:sz="6" w:space="0"/>
              <w:left w:val="single" w:color="auto" w:sz="8" w:space="0"/>
              <w:bottom w:val="single" w:color="auto" w:sz="6" w:space="0"/>
              <w:right w:val="single" w:color="auto" w:sz="8" w:space="0"/>
            </w:tcBorders>
            <w:noWrap w:val="0"/>
            <w:vAlign w:val="center"/>
          </w:tcPr>
          <w:p w14:paraId="278864C8">
            <w:pPr>
              <w:pStyle w:val="34"/>
              <w:rPr>
                <w:sz w:val="24"/>
                <w:szCs w:val="24"/>
              </w:rPr>
            </w:pPr>
            <w:r>
              <w:rPr>
                <w:rFonts w:hint="eastAsia"/>
                <w:sz w:val="24"/>
                <w:szCs w:val="24"/>
              </w:rPr>
              <w:t>单位</w:t>
            </w:r>
          </w:p>
        </w:tc>
        <w:tc>
          <w:tcPr>
            <w:tcW w:w="990" w:type="dxa"/>
            <w:tcBorders>
              <w:top w:val="single" w:color="auto" w:sz="6" w:space="0"/>
              <w:left w:val="single" w:color="auto" w:sz="8" w:space="0"/>
              <w:bottom w:val="single" w:color="auto" w:sz="6" w:space="0"/>
              <w:right w:val="single" w:color="auto" w:sz="6" w:space="0"/>
            </w:tcBorders>
            <w:noWrap w:val="0"/>
            <w:vAlign w:val="center"/>
          </w:tcPr>
          <w:p w14:paraId="168CF55A">
            <w:pPr>
              <w:pStyle w:val="34"/>
              <w:rPr>
                <w:sz w:val="24"/>
                <w:szCs w:val="24"/>
              </w:rPr>
            </w:pPr>
            <w:r>
              <w:rPr>
                <w:rFonts w:hint="eastAsia"/>
                <w:sz w:val="24"/>
                <w:szCs w:val="24"/>
              </w:rPr>
              <w:t>数量</w:t>
            </w:r>
          </w:p>
        </w:tc>
      </w:tr>
      <w:tr w14:paraId="1DC55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754" w:type="dxa"/>
            <w:tcBorders>
              <w:top w:val="single" w:color="auto" w:sz="6" w:space="0"/>
              <w:left w:val="single" w:color="auto" w:sz="12" w:space="0"/>
              <w:bottom w:val="single" w:color="auto" w:sz="6" w:space="0"/>
              <w:right w:val="single" w:color="auto" w:sz="6" w:space="0"/>
            </w:tcBorders>
            <w:noWrap w:val="0"/>
            <w:vAlign w:val="center"/>
          </w:tcPr>
          <w:p w14:paraId="33A7741A">
            <w:pPr>
              <w:pStyle w:val="34"/>
              <w:rPr>
                <w:rFonts w:hint="eastAsia" w:eastAsia="仿宋_GB2312"/>
                <w:sz w:val="24"/>
                <w:szCs w:val="24"/>
                <w:lang w:eastAsia="zh-CN"/>
              </w:rPr>
            </w:pPr>
            <w:r>
              <w:rPr>
                <w:rFonts w:hint="eastAsia"/>
                <w:sz w:val="24"/>
                <w:szCs w:val="24"/>
                <w:lang w:val="en-US" w:eastAsia="zh-CN"/>
              </w:rPr>
              <w:t>一</w:t>
            </w:r>
          </w:p>
        </w:tc>
        <w:tc>
          <w:tcPr>
            <w:tcW w:w="5685" w:type="dxa"/>
            <w:tcBorders>
              <w:top w:val="single" w:color="auto" w:sz="6" w:space="0"/>
              <w:left w:val="single" w:color="auto" w:sz="6" w:space="0"/>
              <w:bottom w:val="single" w:color="auto" w:sz="6" w:space="0"/>
              <w:right w:val="single" w:color="auto" w:sz="8" w:space="0"/>
            </w:tcBorders>
            <w:noWrap w:val="0"/>
            <w:vAlign w:val="center"/>
          </w:tcPr>
          <w:p w14:paraId="6296A3B8">
            <w:pPr>
              <w:keepNext w:val="0"/>
              <w:keepLines w:val="0"/>
              <w:widowControl/>
              <w:suppressLineNumbers w:val="0"/>
              <w:jc w:val="center"/>
              <w:textAlignment w:val="center"/>
              <w:rPr>
                <w:rFonts w:hint="default" w:ascii="华文仿宋" w:hAnsi="华文仿宋" w:eastAsia="华文仿宋" w:cs="华文仿宋"/>
                <w:b/>
                <w:i w:val="0"/>
                <w:color w:val="000000"/>
                <w:kern w:val="2"/>
                <w:sz w:val="24"/>
                <w:szCs w:val="24"/>
                <w:u w:val="none"/>
                <w:lang w:val="en-US" w:eastAsia="zh-CN" w:bidi="ar-SA"/>
              </w:rPr>
            </w:pPr>
            <w:r>
              <w:rPr>
                <w:rFonts w:hint="eastAsia" w:ascii="华文仿宋" w:hAnsi="华文仿宋" w:eastAsia="华文仿宋" w:cs="华文仿宋"/>
                <w:b/>
                <w:i w:val="0"/>
                <w:color w:val="000000"/>
                <w:kern w:val="0"/>
                <w:sz w:val="24"/>
                <w:szCs w:val="24"/>
                <w:u w:val="none"/>
                <w:lang w:val="en-US" w:eastAsia="zh-CN" w:bidi="ar"/>
              </w:rPr>
              <w:t>外科综合大楼周边及呼吸综合大楼正面广场路面</w:t>
            </w:r>
          </w:p>
        </w:tc>
        <w:tc>
          <w:tcPr>
            <w:tcW w:w="840" w:type="dxa"/>
            <w:tcBorders>
              <w:top w:val="single" w:color="auto" w:sz="6" w:space="0"/>
              <w:left w:val="single" w:color="auto" w:sz="8" w:space="0"/>
              <w:bottom w:val="single" w:color="auto" w:sz="6" w:space="0"/>
              <w:right w:val="single" w:color="auto" w:sz="8" w:space="0"/>
            </w:tcBorders>
            <w:noWrap w:val="0"/>
            <w:vAlign w:val="center"/>
          </w:tcPr>
          <w:p w14:paraId="25DE7CDC">
            <w:pPr>
              <w:rPr>
                <w:rFonts w:hint="eastAsia" w:ascii="华文仿宋" w:hAnsi="华文仿宋" w:eastAsia="华文仿宋" w:cs="华文仿宋"/>
                <w:sz w:val="24"/>
                <w:szCs w:val="24"/>
              </w:rPr>
            </w:pPr>
            <w:r>
              <w:rPr>
                <w:rFonts w:hint="eastAsia" w:ascii="华文仿宋" w:hAnsi="华文仿宋" w:eastAsia="华文仿宋" w:cs="华文仿宋"/>
                <w:sz w:val="24"/>
                <w:szCs w:val="24"/>
              </w:rPr>
              <w:t>　</w:t>
            </w:r>
          </w:p>
        </w:tc>
        <w:tc>
          <w:tcPr>
            <w:tcW w:w="990" w:type="dxa"/>
            <w:tcBorders>
              <w:top w:val="single" w:color="auto" w:sz="6" w:space="0"/>
              <w:left w:val="single" w:color="auto" w:sz="8" w:space="0"/>
              <w:bottom w:val="single" w:color="auto" w:sz="6" w:space="0"/>
              <w:right w:val="single" w:color="auto" w:sz="6" w:space="0"/>
            </w:tcBorders>
            <w:noWrap w:val="0"/>
            <w:vAlign w:val="center"/>
          </w:tcPr>
          <w:p w14:paraId="38DC80CA">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　</w:t>
            </w:r>
          </w:p>
        </w:tc>
      </w:tr>
      <w:tr w14:paraId="6544D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54" w:type="dxa"/>
            <w:tcBorders>
              <w:top w:val="single" w:color="auto" w:sz="6" w:space="0"/>
              <w:left w:val="single" w:color="auto" w:sz="12" w:space="0"/>
              <w:bottom w:val="single" w:color="auto" w:sz="6" w:space="0"/>
              <w:right w:val="single" w:color="auto" w:sz="6" w:space="0"/>
            </w:tcBorders>
            <w:noWrap w:val="0"/>
            <w:vAlign w:val="center"/>
          </w:tcPr>
          <w:p w14:paraId="5D9F9118">
            <w:pPr>
              <w:pStyle w:val="34"/>
              <w:rPr>
                <w:rFonts w:hint="eastAsia" w:eastAsia="仿宋_GB2312"/>
                <w:sz w:val="24"/>
                <w:szCs w:val="24"/>
                <w:lang w:eastAsia="zh-CN"/>
              </w:rPr>
            </w:pPr>
            <w:r>
              <w:rPr>
                <w:rFonts w:hint="eastAsia"/>
                <w:sz w:val="24"/>
                <w:szCs w:val="24"/>
                <w:lang w:val="en-US" w:eastAsia="zh-CN"/>
              </w:rPr>
              <w:t>1</w:t>
            </w:r>
          </w:p>
        </w:tc>
        <w:tc>
          <w:tcPr>
            <w:tcW w:w="5685" w:type="dxa"/>
            <w:tcBorders>
              <w:top w:val="single" w:color="auto" w:sz="6" w:space="0"/>
              <w:left w:val="single" w:color="auto" w:sz="6" w:space="0"/>
              <w:bottom w:val="single" w:color="auto" w:sz="6" w:space="0"/>
              <w:right w:val="single" w:color="auto" w:sz="8" w:space="0"/>
            </w:tcBorders>
            <w:noWrap w:val="0"/>
            <w:vAlign w:val="center"/>
          </w:tcPr>
          <w:p w14:paraId="359E571C">
            <w:pPr>
              <w:keepNext w:val="0"/>
              <w:keepLines w:val="0"/>
              <w:widowControl/>
              <w:suppressLineNumbers w:val="0"/>
              <w:jc w:val="left"/>
              <w:textAlignment w:val="center"/>
              <w:rPr>
                <w:rFonts w:hint="eastAsia" w:ascii="华文仿宋" w:hAnsi="华文仿宋" w:eastAsia="华文仿宋" w:cs="华文仿宋"/>
                <w:b/>
                <w:i w:val="0"/>
                <w:color w:val="000000"/>
                <w:kern w:val="0"/>
                <w:sz w:val="24"/>
                <w:szCs w:val="24"/>
                <w:u w:val="none"/>
                <w:lang w:val="en-US" w:eastAsia="zh-CN" w:bidi="ar"/>
              </w:rPr>
            </w:pPr>
            <w:r>
              <w:rPr>
                <w:rFonts w:hint="eastAsia" w:ascii="华文仿宋" w:hAnsi="华文仿宋" w:eastAsia="华文仿宋" w:cs="华文仿宋"/>
                <w:b/>
                <w:i w:val="0"/>
                <w:color w:val="000000"/>
                <w:kern w:val="0"/>
                <w:sz w:val="24"/>
                <w:szCs w:val="24"/>
                <w:u w:val="none"/>
                <w:lang w:val="en-US" w:eastAsia="zh-CN" w:bidi="ar"/>
              </w:rPr>
              <w:t>外科综合大楼周边：</w:t>
            </w:r>
          </w:p>
          <w:p w14:paraId="17ADE94A">
            <w:pPr>
              <w:keepNext w:val="0"/>
              <w:keepLines w:val="0"/>
              <w:widowControl/>
              <w:suppressLineNumbers w:val="0"/>
              <w:jc w:val="left"/>
              <w:textAlignment w:val="center"/>
              <w:rPr>
                <w:rFonts w:hint="eastAsia" w:ascii="华文仿宋" w:hAnsi="华文仿宋" w:eastAsia="华文仿宋" w:cs="华文仿宋"/>
                <w:b/>
                <w:i w:val="0"/>
                <w:color w:val="000000"/>
                <w:kern w:val="0"/>
                <w:sz w:val="24"/>
                <w:szCs w:val="24"/>
                <w:u w:val="none"/>
                <w:lang w:val="en-US" w:eastAsia="zh-CN" w:bidi="ar"/>
              </w:rPr>
            </w:pPr>
            <w:r>
              <w:rPr>
                <w:rFonts w:hint="eastAsia" w:ascii="华文仿宋" w:hAnsi="华文仿宋" w:eastAsia="华文仿宋" w:cs="华文仿宋"/>
                <w:b/>
                <w:i w:val="0"/>
                <w:color w:val="000000"/>
                <w:kern w:val="0"/>
                <w:sz w:val="24"/>
                <w:szCs w:val="24"/>
                <w:u w:val="none"/>
                <w:lang w:val="en-US" w:eastAsia="zh-CN" w:bidi="ar"/>
              </w:rPr>
              <w:t>1、剔除原沥青路面；</w:t>
            </w:r>
          </w:p>
          <w:p w14:paraId="777ABAB2">
            <w:pPr>
              <w:keepNext w:val="0"/>
              <w:keepLines w:val="0"/>
              <w:widowControl/>
              <w:suppressLineNumbers w:val="0"/>
              <w:jc w:val="left"/>
              <w:textAlignment w:val="center"/>
              <w:rPr>
                <w:rFonts w:hint="eastAsia" w:ascii="华文仿宋" w:hAnsi="华文仿宋" w:eastAsia="华文仿宋" w:cs="华文仿宋"/>
                <w:b/>
                <w:i w:val="0"/>
                <w:color w:val="000000"/>
                <w:kern w:val="0"/>
                <w:sz w:val="24"/>
                <w:szCs w:val="24"/>
                <w:u w:val="none"/>
                <w:lang w:val="en-US" w:eastAsia="zh-CN" w:bidi="ar"/>
              </w:rPr>
            </w:pPr>
            <w:r>
              <w:rPr>
                <w:rFonts w:hint="eastAsia" w:ascii="华文仿宋" w:hAnsi="华文仿宋" w:eastAsia="华文仿宋" w:cs="华文仿宋"/>
                <w:b/>
                <w:i w:val="0"/>
                <w:color w:val="000000"/>
                <w:kern w:val="0"/>
                <w:sz w:val="24"/>
                <w:szCs w:val="24"/>
                <w:u w:val="none"/>
                <w:lang w:val="en-US" w:eastAsia="zh-CN" w:bidi="ar"/>
              </w:rPr>
              <w:t>2、维修路面垫层损坏部分；</w:t>
            </w:r>
          </w:p>
          <w:p w14:paraId="6D7C95D1">
            <w:pPr>
              <w:keepNext w:val="0"/>
              <w:keepLines w:val="0"/>
              <w:widowControl/>
              <w:suppressLineNumbers w:val="0"/>
              <w:jc w:val="left"/>
              <w:textAlignment w:val="center"/>
              <w:rPr>
                <w:rFonts w:hint="eastAsia" w:ascii="华文仿宋" w:hAnsi="华文仿宋" w:eastAsia="华文仿宋" w:cs="华文仿宋"/>
                <w:b/>
                <w:i w:val="0"/>
                <w:color w:val="000000"/>
                <w:kern w:val="0"/>
                <w:sz w:val="24"/>
                <w:szCs w:val="24"/>
                <w:u w:val="none"/>
                <w:lang w:val="en-US" w:eastAsia="zh-CN" w:bidi="ar"/>
              </w:rPr>
            </w:pPr>
            <w:r>
              <w:rPr>
                <w:rFonts w:hint="eastAsia" w:ascii="华文仿宋" w:hAnsi="华文仿宋" w:eastAsia="华文仿宋" w:cs="华文仿宋"/>
                <w:b/>
                <w:i w:val="0"/>
                <w:color w:val="000000"/>
                <w:kern w:val="0"/>
                <w:sz w:val="24"/>
                <w:szCs w:val="24"/>
                <w:u w:val="none"/>
                <w:lang w:val="en-US" w:eastAsia="zh-CN" w:bidi="ar"/>
              </w:rPr>
              <w:t>3、摊铺沥青混凝土路面（粘层油、透层油、玻纤格栅、AC-16沥青6CM厚、SBS-10沥青4CM厚、特殊位置可使用专用沥青）；</w:t>
            </w:r>
          </w:p>
          <w:p w14:paraId="0A9FAA2A">
            <w:pPr>
              <w:keepNext w:val="0"/>
              <w:keepLines w:val="0"/>
              <w:widowControl/>
              <w:suppressLineNumbers w:val="0"/>
              <w:jc w:val="left"/>
              <w:textAlignment w:val="center"/>
              <w:rPr>
                <w:rFonts w:hint="eastAsia" w:ascii="华文仿宋" w:hAnsi="华文仿宋" w:eastAsia="华文仿宋" w:cs="华文仿宋"/>
                <w:sz w:val="24"/>
                <w:szCs w:val="24"/>
              </w:rPr>
            </w:pPr>
            <w:r>
              <w:rPr>
                <w:rFonts w:hint="eastAsia" w:ascii="华文仿宋" w:hAnsi="华文仿宋" w:eastAsia="华文仿宋" w:cs="华文仿宋"/>
                <w:b/>
                <w:i w:val="0"/>
                <w:color w:val="000000"/>
                <w:kern w:val="0"/>
                <w:sz w:val="24"/>
                <w:szCs w:val="24"/>
                <w:u w:val="none"/>
                <w:lang w:val="en-US" w:eastAsia="zh-CN" w:bidi="ar"/>
              </w:rPr>
              <w:t>4、原有井盖、排水格栅调整、加固维护；</w:t>
            </w:r>
          </w:p>
        </w:tc>
        <w:tc>
          <w:tcPr>
            <w:tcW w:w="840" w:type="dxa"/>
            <w:tcBorders>
              <w:top w:val="single" w:color="auto" w:sz="6" w:space="0"/>
              <w:left w:val="single" w:color="auto" w:sz="8" w:space="0"/>
              <w:bottom w:val="single" w:color="auto" w:sz="6" w:space="0"/>
              <w:right w:val="single" w:color="auto" w:sz="8" w:space="0"/>
            </w:tcBorders>
            <w:noWrap w:val="0"/>
            <w:vAlign w:val="center"/>
          </w:tcPr>
          <w:p w14:paraId="778642BD">
            <w:pPr>
              <w:keepNext w:val="0"/>
              <w:keepLines w:val="0"/>
              <w:widowControl/>
              <w:suppressLineNumbers w:val="0"/>
              <w:jc w:val="center"/>
              <w:textAlignment w:val="center"/>
              <w:rPr>
                <w:rFonts w:hint="eastAsia" w:ascii="华文仿宋" w:hAnsi="华文仿宋" w:eastAsia="华文仿宋" w:cs="华文仿宋"/>
                <w:sz w:val="24"/>
                <w:szCs w:val="24"/>
              </w:rPr>
            </w:pPr>
            <w:r>
              <w:rPr>
                <w:rFonts w:hint="eastAsia" w:ascii="宋体" w:hAnsi="宋体" w:eastAsia="宋体" w:cs="宋体"/>
                <w:i w:val="0"/>
                <w:iCs w:val="0"/>
                <w:color w:val="000000"/>
                <w:kern w:val="0"/>
                <w:sz w:val="24"/>
                <w:szCs w:val="24"/>
                <w:u w:val="none"/>
                <w:lang w:val="en-US" w:eastAsia="zh-CN" w:bidi="ar"/>
              </w:rPr>
              <w:t>m2</w:t>
            </w:r>
          </w:p>
        </w:tc>
        <w:tc>
          <w:tcPr>
            <w:tcW w:w="990" w:type="dxa"/>
            <w:tcBorders>
              <w:top w:val="single" w:color="auto" w:sz="6" w:space="0"/>
              <w:left w:val="single" w:color="auto" w:sz="8" w:space="0"/>
              <w:bottom w:val="single" w:color="auto" w:sz="6" w:space="0"/>
              <w:right w:val="single" w:color="auto" w:sz="6" w:space="0"/>
            </w:tcBorders>
            <w:noWrap w:val="0"/>
            <w:vAlign w:val="center"/>
          </w:tcPr>
          <w:p w14:paraId="149EE99C">
            <w:pPr>
              <w:keepNext w:val="0"/>
              <w:keepLines w:val="0"/>
              <w:widowControl/>
              <w:suppressLineNumbers w:val="0"/>
              <w:jc w:val="right"/>
              <w:textAlignment w:val="center"/>
              <w:rPr>
                <w:rFonts w:hint="default" w:ascii="华文仿宋" w:hAnsi="华文仿宋" w:eastAsia="华文仿宋" w:cs="华文仿宋"/>
                <w:sz w:val="24"/>
                <w:szCs w:val="24"/>
                <w:lang w:val="en-US"/>
              </w:rPr>
            </w:pPr>
            <w:r>
              <w:rPr>
                <w:rFonts w:hint="eastAsia" w:ascii="宋体" w:hAnsi="宋体" w:eastAsia="宋体" w:cs="宋体"/>
                <w:i w:val="0"/>
                <w:iCs w:val="0"/>
                <w:color w:val="000000"/>
                <w:kern w:val="0"/>
                <w:sz w:val="24"/>
                <w:szCs w:val="24"/>
                <w:u w:val="none"/>
                <w:lang w:val="en-US" w:eastAsia="zh-CN" w:bidi="ar"/>
              </w:rPr>
              <w:t>2340</w:t>
            </w:r>
          </w:p>
        </w:tc>
      </w:tr>
      <w:tr w14:paraId="40CB65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754" w:type="dxa"/>
            <w:tcBorders>
              <w:top w:val="single" w:color="auto" w:sz="6" w:space="0"/>
              <w:left w:val="single" w:color="auto" w:sz="12" w:space="0"/>
              <w:bottom w:val="single" w:color="auto" w:sz="6" w:space="0"/>
              <w:right w:val="single" w:color="auto" w:sz="6" w:space="0"/>
            </w:tcBorders>
            <w:noWrap w:val="0"/>
            <w:vAlign w:val="center"/>
          </w:tcPr>
          <w:p w14:paraId="697689FB">
            <w:pPr>
              <w:pStyle w:val="34"/>
              <w:rPr>
                <w:rFonts w:hint="eastAsia" w:eastAsia="仿宋_GB2312"/>
                <w:sz w:val="24"/>
                <w:szCs w:val="24"/>
                <w:lang w:eastAsia="zh-CN"/>
              </w:rPr>
            </w:pPr>
            <w:r>
              <w:rPr>
                <w:rFonts w:hint="eastAsia"/>
                <w:sz w:val="24"/>
                <w:szCs w:val="24"/>
                <w:lang w:val="en-US" w:eastAsia="zh-CN"/>
              </w:rPr>
              <w:t>2</w:t>
            </w:r>
          </w:p>
        </w:tc>
        <w:tc>
          <w:tcPr>
            <w:tcW w:w="5685" w:type="dxa"/>
            <w:tcBorders>
              <w:top w:val="single" w:color="auto" w:sz="6" w:space="0"/>
              <w:left w:val="single" w:color="auto" w:sz="6" w:space="0"/>
              <w:bottom w:val="single" w:color="auto" w:sz="6" w:space="0"/>
              <w:right w:val="single" w:color="auto" w:sz="8" w:space="0"/>
            </w:tcBorders>
            <w:noWrap w:val="0"/>
            <w:vAlign w:val="center"/>
          </w:tcPr>
          <w:p w14:paraId="0CEC7499">
            <w:pPr>
              <w:keepNext w:val="0"/>
              <w:keepLines w:val="0"/>
              <w:widowControl/>
              <w:suppressLineNumbers w:val="0"/>
              <w:jc w:val="left"/>
              <w:textAlignment w:val="center"/>
              <w:rPr>
                <w:rFonts w:hint="eastAsia" w:ascii="华文仿宋" w:hAnsi="华文仿宋" w:eastAsia="华文仿宋" w:cs="华文仿宋"/>
                <w:b/>
                <w:i w:val="0"/>
                <w:color w:val="000000"/>
                <w:kern w:val="0"/>
                <w:sz w:val="24"/>
                <w:szCs w:val="24"/>
                <w:u w:val="none"/>
                <w:lang w:val="en-US" w:eastAsia="zh-CN" w:bidi="ar"/>
              </w:rPr>
            </w:pPr>
            <w:r>
              <w:rPr>
                <w:rFonts w:hint="eastAsia" w:ascii="华文仿宋" w:hAnsi="华文仿宋" w:eastAsia="华文仿宋" w:cs="华文仿宋"/>
                <w:b/>
                <w:i w:val="0"/>
                <w:color w:val="000000"/>
                <w:kern w:val="0"/>
                <w:sz w:val="24"/>
                <w:szCs w:val="24"/>
                <w:u w:val="none"/>
                <w:lang w:val="en-US" w:eastAsia="zh-CN" w:bidi="ar"/>
              </w:rPr>
              <w:t>呼吸综合大楼正面广场：</w:t>
            </w:r>
          </w:p>
          <w:p w14:paraId="391DDE71">
            <w:pPr>
              <w:keepNext w:val="0"/>
              <w:keepLines w:val="0"/>
              <w:widowControl/>
              <w:suppressLineNumbers w:val="0"/>
              <w:jc w:val="left"/>
              <w:textAlignment w:val="center"/>
              <w:rPr>
                <w:rFonts w:hint="eastAsia" w:ascii="华文仿宋" w:hAnsi="华文仿宋" w:eastAsia="华文仿宋" w:cs="华文仿宋"/>
                <w:b/>
                <w:i w:val="0"/>
                <w:color w:val="000000"/>
                <w:kern w:val="0"/>
                <w:sz w:val="24"/>
                <w:szCs w:val="24"/>
                <w:u w:val="none"/>
                <w:lang w:val="en-US" w:eastAsia="zh-CN" w:bidi="ar"/>
              </w:rPr>
            </w:pPr>
            <w:r>
              <w:rPr>
                <w:rFonts w:hint="eastAsia" w:ascii="华文仿宋" w:hAnsi="华文仿宋" w:eastAsia="华文仿宋" w:cs="华文仿宋"/>
                <w:b/>
                <w:i w:val="0"/>
                <w:color w:val="000000"/>
                <w:kern w:val="0"/>
                <w:sz w:val="24"/>
                <w:szCs w:val="24"/>
                <w:u w:val="none"/>
                <w:lang w:val="en-US" w:eastAsia="zh-CN" w:bidi="ar"/>
              </w:rPr>
              <w:t>1、按沥青铺设图设置边线，进行切割，挖出青石板，不做垫层开挖；</w:t>
            </w:r>
          </w:p>
          <w:p w14:paraId="25DAAA23">
            <w:pPr>
              <w:keepNext w:val="0"/>
              <w:keepLines w:val="0"/>
              <w:widowControl/>
              <w:suppressLineNumbers w:val="0"/>
              <w:jc w:val="left"/>
              <w:textAlignment w:val="center"/>
              <w:rPr>
                <w:rFonts w:hint="eastAsia" w:ascii="华文仿宋" w:hAnsi="华文仿宋" w:eastAsia="华文仿宋" w:cs="华文仿宋"/>
                <w:b/>
                <w:i w:val="0"/>
                <w:color w:val="000000"/>
                <w:kern w:val="0"/>
                <w:sz w:val="24"/>
                <w:szCs w:val="24"/>
                <w:u w:val="none"/>
                <w:lang w:val="en-US" w:eastAsia="zh-CN" w:bidi="ar"/>
              </w:rPr>
            </w:pPr>
            <w:r>
              <w:rPr>
                <w:rFonts w:hint="eastAsia" w:ascii="华文仿宋" w:hAnsi="华文仿宋" w:eastAsia="华文仿宋" w:cs="华文仿宋"/>
                <w:b/>
                <w:i w:val="0"/>
                <w:color w:val="000000"/>
                <w:kern w:val="0"/>
                <w:sz w:val="24"/>
                <w:szCs w:val="24"/>
                <w:u w:val="none"/>
                <w:lang w:val="en-US" w:eastAsia="zh-CN" w:bidi="ar"/>
              </w:rPr>
              <w:t>2、维修路面垫层损坏部分，明显会沉降的地方应夯实处理，确保质保期内没有沉降积水；</w:t>
            </w:r>
          </w:p>
          <w:p w14:paraId="460CDE19">
            <w:pPr>
              <w:keepNext w:val="0"/>
              <w:keepLines w:val="0"/>
              <w:widowControl/>
              <w:suppressLineNumbers w:val="0"/>
              <w:jc w:val="left"/>
              <w:textAlignment w:val="center"/>
              <w:rPr>
                <w:rFonts w:hint="eastAsia" w:ascii="华文仿宋" w:hAnsi="华文仿宋" w:eastAsia="华文仿宋" w:cs="华文仿宋"/>
                <w:b/>
                <w:i w:val="0"/>
                <w:color w:val="000000"/>
                <w:kern w:val="0"/>
                <w:sz w:val="24"/>
                <w:szCs w:val="24"/>
                <w:u w:val="none"/>
                <w:lang w:val="en-US" w:eastAsia="zh-CN" w:bidi="ar"/>
              </w:rPr>
            </w:pPr>
            <w:r>
              <w:rPr>
                <w:rFonts w:hint="eastAsia" w:ascii="华文仿宋" w:hAnsi="华文仿宋" w:eastAsia="华文仿宋" w:cs="华文仿宋"/>
                <w:b/>
                <w:i w:val="0"/>
                <w:color w:val="000000"/>
                <w:kern w:val="0"/>
                <w:sz w:val="24"/>
                <w:szCs w:val="24"/>
                <w:u w:val="none"/>
                <w:lang w:val="en-US" w:eastAsia="zh-CN" w:bidi="ar"/>
              </w:rPr>
              <w:t>3、沥青路面与石板路面交接处安路缘石（10*10*60），修复石板路面损坏部分（按50平方米预算）；</w:t>
            </w:r>
          </w:p>
          <w:p w14:paraId="6A66CCAC">
            <w:pPr>
              <w:keepNext w:val="0"/>
              <w:keepLines w:val="0"/>
              <w:widowControl/>
              <w:suppressLineNumbers w:val="0"/>
              <w:jc w:val="left"/>
              <w:textAlignment w:val="center"/>
              <w:rPr>
                <w:rFonts w:hint="eastAsia" w:ascii="华文仿宋" w:hAnsi="华文仿宋" w:eastAsia="华文仿宋" w:cs="华文仿宋"/>
                <w:b/>
                <w:i w:val="0"/>
                <w:color w:val="000000"/>
                <w:kern w:val="0"/>
                <w:sz w:val="24"/>
                <w:szCs w:val="24"/>
                <w:u w:val="none"/>
                <w:lang w:val="en-US" w:eastAsia="zh-CN" w:bidi="ar"/>
              </w:rPr>
            </w:pPr>
            <w:r>
              <w:rPr>
                <w:rFonts w:hint="eastAsia" w:ascii="华文仿宋" w:hAnsi="华文仿宋" w:eastAsia="华文仿宋" w:cs="华文仿宋"/>
                <w:b/>
                <w:i w:val="0"/>
                <w:color w:val="000000"/>
                <w:kern w:val="0"/>
                <w:sz w:val="24"/>
                <w:szCs w:val="24"/>
                <w:u w:val="none"/>
                <w:lang w:val="en-US" w:eastAsia="zh-CN" w:bidi="ar"/>
              </w:rPr>
              <w:t>4、摊铺沥青混凝土路面（粘层油、透层油、玻纤格栅、AC-16沥青6CM厚、SBS-10沥青4CM厚、特殊位置可使用专用沥青）；</w:t>
            </w:r>
          </w:p>
          <w:p w14:paraId="1FD2F1C1">
            <w:pPr>
              <w:keepNext w:val="0"/>
              <w:keepLines w:val="0"/>
              <w:widowControl/>
              <w:suppressLineNumbers w:val="0"/>
              <w:jc w:val="left"/>
              <w:textAlignment w:val="center"/>
              <w:rPr>
                <w:rFonts w:hint="eastAsia" w:ascii="华文仿宋" w:hAnsi="华文仿宋" w:eastAsia="华文仿宋" w:cs="华文仿宋"/>
                <w:sz w:val="24"/>
                <w:szCs w:val="24"/>
              </w:rPr>
            </w:pPr>
            <w:r>
              <w:rPr>
                <w:rFonts w:hint="eastAsia" w:ascii="华文仿宋" w:hAnsi="华文仿宋" w:eastAsia="华文仿宋" w:cs="华文仿宋"/>
                <w:b/>
                <w:i w:val="0"/>
                <w:color w:val="000000"/>
                <w:kern w:val="0"/>
                <w:sz w:val="24"/>
                <w:szCs w:val="24"/>
                <w:u w:val="none"/>
                <w:lang w:val="en-US" w:eastAsia="zh-CN" w:bidi="ar"/>
              </w:rPr>
              <w:t>5、原有井盖、排水格栅、调整、加固维护；</w:t>
            </w:r>
          </w:p>
        </w:tc>
        <w:tc>
          <w:tcPr>
            <w:tcW w:w="840" w:type="dxa"/>
            <w:tcBorders>
              <w:top w:val="single" w:color="auto" w:sz="6" w:space="0"/>
              <w:left w:val="single" w:color="auto" w:sz="8" w:space="0"/>
              <w:bottom w:val="single" w:color="auto" w:sz="6" w:space="0"/>
              <w:right w:val="single" w:color="auto" w:sz="8" w:space="0"/>
            </w:tcBorders>
            <w:noWrap w:val="0"/>
            <w:vAlign w:val="center"/>
          </w:tcPr>
          <w:p w14:paraId="68568975">
            <w:pPr>
              <w:keepNext w:val="0"/>
              <w:keepLines w:val="0"/>
              <w:widowControl/>
              <w:suppressLineNumbers w:val="0"/>
              <w:jc w:val="center"/>
              <w:textAlignment w:val="center"/>
              <w:rPr>
                <w:rFonts w:hint="default" w:ascii="华文仿宋" w:hAnsi="华文仿宋" w:eastAsia="华文仿宋" w:cs="华文仿宋"/>
                <w:sz w:val="24"/>
                <w:szCs w:val="24"/>
                <w:lang w:val="en-US"/>
              </w:rPr>
            </w:pPr>
            <w:r>
              <w:rPr>
                <w:rFonts w:hint="eastAsia" w:ascii="宋体" w:hAnsi="宋体" w:eastAsia="宋体" w:cs="宋体"/>
                <w:i w:val="0"/>
                <w:iCs w:val="0"/>
                <w:color w:val="000000"/>
                <w:kern w:val="0"/>
                <w:sz w:val="24"/>
                <w:szCs w:val="24"/>
                <w:u w:val="none"/>
                <w:lang w:val="en-US" w:eastAsia="zh-CN" w:bidi="ar"/>
              </w:rPr>
              <w:t>m2</w:t>
            </w:r>
          </w:p>
        </w:tc>
        <w:tc>
          <w:tcPr>
            <w:tcW w:w="990" w:type="dxa"/>
            <w:tcBorders>
              <w:top w:val="single" w:color="auto" w:sz="6" w:space="0"/>
              <w:left w:val="single" w:color="auto" w:sz="8" w:space="0"/>
              <w:bottom w:val="single" w:color="auto" w:sz="6" w:space="0"/>
              <w:right w:val="single" w:color="auto" w:sz="6" w:space="0"/>
            </w:tcBorders>
            <w:noWrap w:val="0"/>
            <w:vAlign w:val="center"/>
          </w:tcPr>
          <w:p w14:paraId="62556081">
            <w:pPr>
              <w:keepNext w:val="0"/>
              <w:keepLines w:val="0"/>
              <w:widowControl/>
              <w:suppressLineNumbers w:val="0"/>
              <w:jc w:val="right"/>
              <w:textAlignment w:val="center"/>
              <w:rPr>
                <w:rFonts w:hint="default" w:ascii="华文仿宋" w:hAnsi="华文仿宋" w:eastAsia="华文仿宋" w:cs="华文仿宋"/>
                <w:sz w:val="24"/>
                <w:szCs w:val="24"/>
                <w:lang w:val="en-US"/>
              </w:rPr>
            </w:pPr>
            <w:r>
              <w:rPr>
                <w:rFonts w:hint="eastAsia" w:ascii="宋体" w:hAnsi="宋体" w:eastAsia="宋体" w:cs="宋体"/>
                <w:i w:val="0"/>
                <w:iCs w:val="0"/>
                <w:color w:val="000000"/>
                <w:kern w:val="0"/>
                <w:sz w:val="24"/>
                <w:szCs w:val="24"/>
                <w:u w:val="none"/>
                <w:lang w:val="en-US" w:eastAsia="zh-CN" w:bidi="ar"/>
              </w:rPr>
              <w:t>850</w:t>
            </w:r>
          </w:p>
        </w:tc>
      </w:tr>
    </w:tbl>
    <w:p w14:paraId="2334DBEC">
      <w:pPr>
        <w:spacing w:line="360" w:lineRule="auto"/>
        <w:ind w:firstLine="602" w:firstLineChars="200"/>
        <w:rPr>
          <w:rFonts w:hint="eastAsia" w:ascii="仿宋_GB2312" w:eastAsia="仿宋_GB2312"/>
          <w:b/>
          <w:sz w:val="30"/>
          <w:szCs w:val="30"/>
          <w:lang w:eastAsia="zh-CN"/>
        </w:rPr>
      </w:pPr>
      <w:r>
        <w:rPr>
          <w:rFonts w:hint="eastAsia" w:ascii="仿宋_GB2312" w:eastAsia="仿宋_GB2312"/>
          <w:b/>
          <w:sz w:val="30"/>
          <w:szCs w:val="30"/>
        </w:rPr>
        <w:t>本工程量仅为参考工程量，具体工程量由</w:t>
      </w:r>
      <w:r>
        <w:rPr>
          <w:rFonts w:hint="eastAsia" w:ascii="仿宋_GB2312" w:eastAsia="仿宋_GB2312"/>
          <w:b/>
          <w:sz w:val="30"/>
          <w:szCs w:val="30"/>
          <w:lang w:val="en-US" w:eastAsia="zh-CN"/>
        </w:rPr>
        <w:t>投标</w:t>
      </w:r>
      <w:r>
        <w:rPr>
          <w:rFonts w:hint="eastAsia" w:ascii="仿宋_GB2312" w:eastAsia="仿宋_GB2312"/>
          <w:b/>
          <w:sz w:val="30"/>
          <w:szCs w:val="30"/>
        </w:rPr>
        <w:t>单位到现场实地测量计算，任何错、漏算工程量一律由</w:t>
      </w:r>
      <w:r>
        <w:rPr>
          <w:rFonts w:hint="eastAsia" w:ascii="仿宋_GB2312" w:eastAsia="仿宋_GB2312"/>
          <w:b/>
          <w:sz w:val="30"/>
          <w:szCs w:val="30"/>
          <w:lang w:val="en-US" w:eastAsia="zh-CN"/>
        </w:rPr>
        <w:t>投标</w:t>
      </w:r>
      <w:r>
        <w:rPr>
          <w:rFonts w:hint="eastAsia" w:ascii="仿宋_GB2312" w:eastAsia="仿宋_GB2312"/>
          <w:b/>
          <w:sz w:val="30"/>
          <w:szCs w:val="30"/>
        </w:rPr>
        <w:t>单位自行负责</w:t>
      </w:r>
      <w:r>
        <w:rPr>
          <w:rFonts w:hint="eastAsia" w:ascii="仿宋_GB2312" w:eastAsia="仿宋_GB2312"/>
          <w:b/>
          <w:sz w:val="30"/>
          <w:szCs w:val="30"/>
          <w:lang w:eastAsia="zh-CN"/>
        </w:rPr>
        <w:t>。</w:t>
      </w:r>
    </w:p>
    <w:p w14:paraId="0F5C753C">
      <w:pPr>
        <w:spacing w:line="360" w:lineRule="auto"/>
        <w:ind w:firstLine="602" w:firstLineChars="200"/>
        <w:rPr>
          <w:rFonts w:hint="eastAsia" w:ascii="仿宋_GB2312" w:hAnsi="宋体" w:eastAsia="仿宋_GB2312"/>
          <w:b/>
          <w:bCs/>
          <w:sz w:val="30"/>
          <w:szCs w:val="30"/>
        </w:rPr>
      </w:pPr>
    </w:p>
    <w:p w14:paraId="08BD6B1E">
      <w:pPr>
        <w:spacing w:line="360" w:lineRule="auto"/>
        <w:ind w:firstLine="602" w:firstLineChars="200"/>
        <w:rPr>
          <w:rFonts w:hint="eastAsia" w:ascii="仿宋_GB2312" w:hAnsi="宋体" w:eastAsia="仿宋_GB2312"/>
          <w:b/>
          <w:bCs/>
          <w:sz w:val="30"/>
          <w:szCs w:val="30"/>
        </w:rPr>
      </w:pPr>
      <w:r>
        <w:rPr>
          <w:rFonts w:hint="eastAsia" w:ascii="仿宋_GB2312" w:hAnsi="宋体" w:eastAsia="仿宋_GB2312"/>
          <w:b/>
          <w:bCs/>
          <w:sz w:val="30"/>
          <w:szCs w:val="30"/>
        </w:rPr>
        <w:t>三、 合同一般条款</w:t>
      </w:r>
    </w:p>
    <w:p w14:paraId="1C59D986">
      <w:pPr>
        <w:spacing w:line="360" w:lineRule="auto"/>
        <w:ind w:firstLine="602" w:firstLineChars="200"/>
        <w:rPr>
          <w:rFonts w:hint="eastAsia" w:ascii="仿宋_GB2312" w:hAnsi="宋体" w:eastAsia="仿宋_GB2312" w:cs="Times New Roman"/>
          <w:b/>
          <w:bCs/>
          <w:sz w:val="30"/>
          <w:szCs w:val="30"/>
        </w:rPr>
      </w:pPr>
      <w:r>
        <w:rPr>
          <w:rFonts w:hint="eastAsia" w:ascii="仿宋_GB2312" w:hAnsi="宋体" w:eastAsia="仿宋_GB2312" w:cs="Times New Roman"/>
          <w:b/>
          <w:bCs/>
          <w:sz w:val="30"/>
          <w:szCs w:val="30"/>
        </w:rPr>
        <w:t>合同价款：完成</w:t>
      </w:r>
      <w:r>
        <w:rPr>
          <w:rFonts w:hint="eastAsia" w:ascii="仿宋_GB2312" w:hAnsi="宋体" w:eastAsia="仿宋_GB2312" w:cs="Times New Roman"/>
          <w:b/>
          <w:bCs/>
          <w:sz w:val="30"/>
          <w:szCs w:val="30"/>
          <w:lang w:val="en-US" w:eastAsia="zh-CN"/>
        </w:rPr>
        <w:t>招标</w:t>
      </w:r>
      <w:r>
        <w:rPr>
          <w:rFonts w:hint="eastAsia" w:ascii="仿宋_GB2312" w:hAnsi="宋体" w:eastAsia="仿宋_GB2312" w:cs="Times New Roman"/>
          <w:b/>
          <w:bCs/>
          <w:sz w:val="30"/>
          <w:szCs w:val="30"/>
        </w:rPr>
        <w:t>范围内设计图内容的中标报价一次性包干。</w:t>
      </w:r>
    </w:p>
    <w:p w14:paraId="298ECD62">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决算方式：合同包干价。</w:t>
      </w:r>
    </w:p>
    <w:p w14:paraId="1A62E9DC">
      <w:pPr>
        <w:spacing w:line="360" w:lineRule="auto"/>
        <w:ind w:firstLine="600" w:firstLineChars="200"/>
        <w:rPr>
          <w:rFonts w:hint="default" w:ascii="仿宋_GB2312" w:hAnsi="宋体" w:eastAsia="仿宋_GB2312"/>
          <w:sz w:val="30"/>
          <w:szCs w:val="30"/>
          <w:lang w:val="en-US" w:eastAsia="zh-CN"/>
        </w:rPr>
      </w:pPr>
      <w:r>
        <w:rPr>
          <w:rFonts w:hint="eastAsia" w:ascii="仿宋_GB2312" w:hAnsi="宋体" w:eastAsia="仿宋_GB2312"/>
          <w:sz w:val="30"/>
          <w:szCs w:val="30"/>
          <w:lang w:val="en-US" w:eastAsia="zh-CN"/>
        </w:rPr>
        <w:t>费用支付：工程验收合格后支付97%，剩余3%质保期结束后支付。</w:t>
      </w:r>
    </w:p>
    <w:p w14:paraId="16926A79">
      <w:pPr>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rPr>
        <w:t>工期奖罚：工期提前不给奖励。因乙方的原因造成延误工期的，罚款以每天500元计算，总额不超过合同价的10%</w:t>
      </w:r>
      <w:r>
        <w:rPr>
          <w:rFonts w:hint="eastAsia" w:ascii="仿宋_GB2312" w:hAnsi="宋体" w:eastAsia="仿宋_GB2312"/>
          <w:sz w:val="30"/>
          <w:szCs w:val="30"/>
          <w:lang w:eastAsia="zh-CN"/>
        </w:rPr>
        <w:t>。</w:t>
      </w:r>
    </w:p>
    <w:p w14:paraId="522BBB21">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质量等级要求：工程质量必须按国家现行评定标准达到合格及以上。若达不到罚工程合同价的1%，并视为中标单位违约。</w:t>
      </w:r>
    </w:p>
    <w:p w14:paraId="4E344B82">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设计变更：必须经甲方两人以上的签字认可的设计变更为有效变更，变更价款按标书预算单价计算。标书中无此内容的按相似工程内容单价计算方法核算单价计算。</w:t>
      </w:r>
    </w:p>
    <w:p w14:paraId="0B8CF2C2">
      <w:pPr>
        <w:spacing w:line="360" w:lineRule="auto"/>
        <w:ind w:firstLine="600" w:firstLineChars="200"/>
        <w:rPr>
          <w:rFonts w:hint="default" w:ascii="仿宋_GB2312" w:hAnsi="宋体" w:eastAsia="仿宋_GB2312"/>
          <w:sz w:val="30"/>
          <w:szCs w:val="30"/>
          <w:lang w:val="en-US" w:eastAsia="zh-CN"/>
        </w:rPr>
      </w:pPr>
      <w:r>
        <w:rPr>
          <w:rFonts w:hint="eastAsia" w:ascii="仿宋_GB2312" w:hAnsi="宋体" w:eastAsia="仿宋_GB2312"/>
          <w:sz w:val="30"/>
          <w:szCs w:val="30"/>
          <w:lang w:val="en-US" w:eastAsia="zh-CN"/>
        </w:rPr>
        <w:t>质保期限：2年。</w:t>
      </w:r>
    </w:p>
    <w:p w14:paraId="6A480726">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工程分包</w:t>
      </w:r>
      <w:r>
        <w:rPr>
          <w:rFonts w:hint="eastAsia" w:ascii="仿宋_GB2312" w:hAnsi="宋体" w:eastAsia="仿宋_GB2312"/>
          <w:sz w:val="30"/>
          <w:szCs w:val="30"/>
          <w:lang w:eastAsia="zh-CN"/>
        </w:rPr>
        <w:t>：</w:t>
      </w:r>
      <w:r>
        <w:rPr>
          <w:rFonts w:hint="eastAsia" w:ascii="仿宋_GB2312" w:hAnsi="宋体" w:eastAsia="仿宋_GB2312"/>
          <w:sz w:val="30"/>
          <w:szCs w:val="30"/>
        </w:rPr>
        <w:t>乙方不准分包。</w:t>
      </w:r>
      <w:bookmarkStart w:id="0" w:name="_GoBack"/>
      <w:bookmarkEnd w:id="0"/>
    </w:p>
    <w:p w14:paraId="7893418E">
      <w:pPr>
        <w:ind w:firstLine="600" w:firstLineChars="200"/>
        <w:rPr>
          <w:rFonts w:hint="eastAsia" w:ascii="仿宋" w:hAnsi="仿宋" w:eastAsia="仿宋"/>
          <w:sz w:val="30"/>
          <w:szCs w:val="30"/>
        </w:rPr>
      </w:pPr>
      <w:r>
        <w:rPr>
          <w:rFonts w:hint="eastAsia" w:ascii="仿宋_GB2312" w:hAnsi="宋体" w:eastAsia="仿宋_GB2312"/>
          <w:sz w:val="30"/>
          <w:szCs w:val="30"/>
        </w:rPr>
        <w:t>违约：中标单位不能履行合同或招标文件约定的确认违约条件或不能满足工程质量、工期要求则确认为中标单位违约</w:t>
      </w:r>
      <w:r>
        <w:rPr>
          <w:rFonts w:hint="eastAsia" w:ascii="仿宋_GB2312" w:hAnsi="宋体" w:eastAsia="仿宋_GB2312"/>
          <w:sz w:val="30"/>
          <w:szCs w:val="30"/>
          <w:lang w:eastAsia="zh-CN"/>
        </w:rPr>
        <w:t>，</w:t>
      </w:r>
      <w:r>
        <w:rPr>
          <w:rFonts w:hint="eastAsia" w:ascii="仿宋_GB2312" w:hAnsi="宋体" w:eastAsia="仿宋_GB2312"/>
          <w:sz w:val="30"/>
          <w:szCs w:val="30"/>
        </w:rPr>
        <w:t>违约造成的损失按照直接损失和可以预见的损失计算</w:t>
      </w:r>
      <w:r>
        <w:rPr>
          <w:rFonts w:hint="eastAsia" w:ascii="仿宋_GB2312" w:hAnsi="宋体" w:eastAsia="仿宋_GB2312"/>
          <w:sz w:val="30"/>
          <w:szCs w:val="30"/>
          <w:lang w:eastAsia="zh-CN"/>
        </w:rPr>
        <w:t>，由</w:t>
      </w:r>
      <w:r>
        <w:rPr>
          <w:rFonts w:hint="eastAsia" w:ascii="仿宋_GB2312" w:hAnsi="宋体" w:eastAsia="仿宋_GB2312"/>
          <w:sz w:val="30"/>
          <w:szCs w:val="30"/>
        </w:rPr>
        <w:t>乙方负责赔偿。</w:t>
      </w:r>
    </w:p>
    <w:p w14:paraId="1A22435E">
      <w:pPr>
        <w:pStyle w:val="17"/>
        <w:pageBreakBefore w:val="0"/>
        <w:numPr>
          <w:ilvl w:val="0"/>
          <w:numId w:val="0"/>
        </w:numPr>
        <w:kinsoku/>
        <w:wordWrap/>
        <w:overflowPunct/>
        <w:topLinePunct w:val="0"/>
        <w:autoSpaceDE/>
        <w:autoSpaceDN/>
        <w:bidi w:val="0"/>
        <w:adjustRightInd/>
        <w:snapToGrid/>
        <w:ind w:firstLine="480" w:firstLineChars="2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8141F9"/>
    <w:rsid w:val="05C83698"/>
    <w:rsid w:val="0BB574E9"/>
    <w:rsid w:val="0DF72211"/>
    <w:rsid w:val="0F227162"/>
    <w:rsid w:val="0FE13788"/>
    <w:rsid w:val="0FF705D0"/>
    <w:rsid w:val="10A62A18"/>
    <w:rsid w:val="16373051"/>
    <w:rsid w:val="165E7E7E"/>
    <w:rsid w:val="1A120022"/>
    <w:rsid w:val="1AE22727"/>
    <w:rsid w:val="1C042A1F"/>
    <w:rsid w:val="1C915908"/>
    <w:rsid w:val="20784C33"/>
    <w:rsid w:val="222F59A7"/>
    <w:rsid w:val="24D2209E"/>
    <w:rsid w:val="26AF70B6"/>
    <w:rsid w:val="26B72AA4"/>
    <w:rsid w:val="2B202C91"/>
    <w:rsid w:val="2D684463"/>
    <w:rsid w:val="2D7D23EE"/>
    <w:rsid w:val="2DF60F5E"/>
    <w:rsid w:val="2F257DA7"/>
    <w:rsid w:val="2F80457E"/>
    <w:rsid w:val="309774C6"/>
    <w:rsid w:val="349E5471"/>
    <w:rsid w:val="38D526E1"/>
    <w:rsid w:val="394B75AF"/>
    <w:rsid w:val="3C2B5111"/>
    <w:rsid w:val="3DA7680A"/>
    <w:rsid w:val="3EBB4364"/>
    <w:rsid w:val="424F55A4"/>
    <w:rsid w:val="461E3079"/>
    <w:rsid w:val="46A139FD"/>
    <w:rsid w:val="481007AD"/>
    <w:rsid w:val="49E17296"/>
    <w:rsid w:val="4AC86916"/>
    <w:rsid w:val="4D8E366A"/>
    <w:rsid w:val="4E8C54B1"/>
    <w:rsid w:val="4EC10F8B"/>
    <w:rsid w:val="4EDA651C"/>
    <w:rsid w:val="4FDE15A9"/>
    <w:rsid w:val="503C735D"/>
    <w:rsid w:val="50D31676"/>
    <w:rsid w:val="51051655"/>
    <w:rsid w:val="51277097"/>
    <w:rsid w:val="51983E64"/>
    <w:rsid w:val="52816664"/>
    <w:rsid w:val="52A05BEE"/>
    <w:rsid w:val="52A13E2E"/>
    <w:rsid w:val="54D97240"/>
    <w:rsid w:val="59D83304"/>
    <w:rsid w:val="5BE56AFB"/>
    <w:rsid w:val="60F65306"/>
    <w:rsid w:val="63B25E95"/>
    <w:rsid w:val="6523006D"/>
    <w:rsid w:val="657A75C8"/>
    <w:rsid w:val="6604073B"/>
    <w:rsid w:val="66102866"/>
    <w:rsid w:val="66D31996"/>
    <w:rsid w:val="688F3EA6"/>
    <w:rsid w:val="69887333"/>
    <w:rsid w:val="69F824A3"/>
    <w:rsid w:val="6A454942"/>
    <w:rsid w:val="6B3A2A32"/>
    <w:rsid w:val="6B6A0DCB"/>
    <w:rsid w:val="6CFB554B"/>
    <w:rsid w:val="6DD4443F"/>
    <w:rsid w:val="6F5349A1"/>
    <w:rsid w:val="719F1EF7"/>
    <w:rsid w:val="72212F9D"/>
    <w:rsid w:val="73075151"/>
    <w:rsid w:val="75A27EE8"/>
    <w:rsid w:val="782E6441"/>
    <w:rsid w:val="7BB3231A"/>
    <w:rsid w:val="7BC07DBF"/>
    <w:rsid w:val="7D3B1B2A"/>
    <w:rsid w:val="7F2006B1"/>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33"/>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Normal Indent"/>
    <w:basedOn w:val="1"/>
    <w:qFormat/>
    <w:uiPriority w:val="0"/>
    <w:pPr>
      <w:ind w:firstLine="420"/>
    </w:pPr>
  </w:style>
  <w:style w:type="paragraph" w:styleId="7">
    <w:name w:val="Body Text"/>
    <w:basedOn w:val="1"/>
    <w:autoRedefine/>
    <w:qFormat/>
    <w:uiPriority w:val="99"/>
    <w:pPr>
      <w:spacing w:before="0" w:beforeLines="0" w:after="0" w:afterLines="0" w:line="240" w:lineRule="auto"/>
      <w:ind w:firstLine="0" w:firstLineChars="0"/>
    </w:pPr>
    <w:rPr>
      <w:rFonts w:ascii="Helvetica" w:hAnsi="Helvetica" w:eastAsia="黑体" w:cs="Times New Roman"/>
      <w:i/>
      <w:iCs/>
      <w:sz w:val="21"/>
      <w:szCs w:val="20"/>
    </w:rPr>
  </w:style>
  <w:style w:type="paragraph" w:styleId="8">
    <w:name w:val="Body Text Indent"/>
    <w:basedOn w:val="1"/>
    <w:autoRedefine/>
    <w:qFormat/>
    <w:uiPriority w:val="0"/>
    <w:pPr>
      <w:spacing w:after="120" w:afterLines="0"/>
      <w:ind w:left="420" w:leftChars="200"/>
    </w:pPr>
  </w:style>
  <w:style w:type="paragraph" w:styleId="9">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0">
    <w:name w:val="footer"/>
    <w:basedOn w:val="1"/>
    <w:link w:val="24"/>
    <w:autoRedefine/>
    <w:qFormat/>
    <w:uiPriority w:val="0"/>
    <w:pPr>
      <w:tabs>
        <w:tab w:val="center" w:pos="4513"/>
        <w:tab w:val="right" w:pos="9026"/>
      </w:tabs>
      <w:snapToGrid w:val="0"/>
      <w:jc w:val="left"/>
    </w:pPr>
    <w:rPr>
      <w:sz w:val="18"/>
      <w:szCs w:val="18"/>
    </w:rPr>
  </w:style>
  <w:style w:type="paragraph" w:styleId="11">
    <w:name w:val="header"/>
    <w:basedOn w:val="1"/>
    <w:link w:val="23"/>
    <w:autoRedefine/>
    <w:qFormat/>
    <w:uiPriority w:val="0"/>
    <w:pPr>
      <w:tabs>
        <w:tab w:val="center" w:pos="4513"/>
        <w:tab w:val="right" w:pos="9026"/>
      </w:tabs>
      <w:snapToGrid w:val="0"/>
      <w:jc w:val="center"/>
    </w:pPr>
    <w:rPr>
      <w:sz w:val="18"/>
      <w:szCs w:val="18"/>
    </w:rPr>
  </w:style>
  <w:style w:type="paragraph" w:styleId="12">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13">
    <w:name w:val="Title"/>
    <w:basedOn w:val="1"/>
    <w:autoRedefine/>
    <w:qFormat/>
    <w:uiPriority w:val="0"/>
    <w:pPr>
      <w:spacing w:before="240" w:after="60"/>
      <w:jc w:val="center"/>
      <w:outlineLvl w:val="0"/>
    </w:pPr>
    <w:rPr>
      <w:rFonts w:ascii="Arial" w:hAnsi="Arial" w:cs="Times New Roman"/>
      <w:b/>
      <w:sz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文1"/>
    <w:qFormat/>
    <w:uiPriority w:val="0"/>
    <w:pPr>
      <w:keepNext/>
      <w:keepLines/>
      <w:spacing w:beforeLines="50" w:afterLines="50" w:line="360" w:lineRule="exact"/>
      <w:ind w:firstLine="200" w:firstLineChars="200"/>
    </w:pPr>
    <w:rPr>
      <w:rFonts w:ascii="仿宋_GB2312" w:hAnsi="宋体" w:eastAsia="仿宋_GB2312" w:cs="Times New Roman"/>
      <w:color w:val="000000"/>
      <w:sz w:val="24"/>
      <w:szCs w:val="30"/>
      <w:lang w:val="en-GB" w:eastAsia="zh-CN" w:bidi="ar-SA"/>
    </w:rPr>
  </w:style>
  <w:style w:type="paragraph" w:customStyle="1" w:styleId="18">
    <w:name w:val="1"/>
    <w:basedOn w:val="1"/>
    <w:next w:val="8"/>
    <w:autoRedefine/>
    <w:qFormat/>
    <w:uiPriority w:val="0"/>
    <w:pPr>
      <w:widowControl w:val="0"/>
      <w:jc w:val="both"/>
    </w:pPr>
    <w:rPr>
      <w:rFonts w:ascii="宋体" w:hAnsi="Courier New"/>
      <w:kern w:val="2"/>
    </w:rPr>
  </w:style>
  <w:style w:type="paragraph" w:customStyle="1" w:styleId="19">
    <w:name w:val="font5"/>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20">
    <w:name w:val="表格文字"/>
    <w:basedOn w:val="1"/>
    <w:autoRedefine/>
    <w:qFormat/>
    <w:uiPriority w:val="0"/>
    <w:pPr>
      <w:spacing w:before="25" w:after="25"/>
    </w:pPr>
    <w:rPr>
      <w:bCs/>
      <w:spacing w:val="10"/>
      <w:kern w:val="0"/>
    </w:rPr>
  </w:style>
  <w:style w:type="paragraph" w:customStyle="1" w:styleId="21">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22">
    <w:name w:val="No Spacing"/>
    <w:autoRedefine/>
    <w:qFormat/>
    <w:uiPriority w:val="1"/>
    <w:rPr>
      <w:rFonts w:ascii="Calibri" w:hAnsi="Calibri" w:eastAsia="宋体" w:cs="Times New Roman"/>
      <w:sz w:val="22"/>
      <w:szCs w:val="22"/>
      <w:lang w:val="en-US" w:eastAsia="zh-CN" w:bidi="ar-SA"/>
    </w:rPr>
  </w:style>
  <w:style w:type="character" w:customStyle="1" w:styleId="23">
    <w:name w:val="页眉 字符"/>
    <w:basedOn w:val="16"/>
    <w:link w:val="11"/>
    <w:autoRedefine/>
    <w:qFormat/>
    <w:uiPriority w:val="0"/>
    <w:rPr>
      <w:rFonts w:ascii="Calibri" w:hAnsi="Calibri" w:eastAsia="宋体" w:cs="Times New Roman"/>
      <w:kern w:val="2"/>
      <w:sz w:val="18"/>
      <w:szCs w:val="18"/>
    </w:rPr>
  </w:style>
  <w:style w:type="character" w:customStyle="1" w:styleId="24">
    <w:name w:val="页脚 字符"/>
    <w:basedOn w:val="16"/>
    <w:link w:val="10"/>
    <w:autoRedefine/>
    <w:qFormat/>
    <w:uiPriority w:val="0"/>
    <w:rPr>
      <w:rFonts w:ascii="Calibri" w:hAnsi="Calibri" w:eastAsia="宋体" w:cs="Times New Roman"/>
      <w:kern w:val="2"/>
      <w:sz w:val="18"/>
      <w:szCs w:val="18"/>
    </w:rPr>
  </w:style>
  <w:style w:type="paragraph" w:customStyle="1" w:styleId="25">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6">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7">
    <w:name w:val="List Paragraph"/>
    <w:basedOn w:val="1"/>
    <w:autoRedefine/>
    <w:qFormat/>
    <w:uiPriority w:val="34"/>
    <w:pPr>
      <w:ind w:firstLine="420" w:firstLineChars="200"/>
    </w:pPr>
  </w:style>
  <w:style w:type="paragraph" w:customStyle="1" w:styleId="28">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9">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30">
    <w:name w:val="Plain Text"/>
    <w:basedOn w:val="1"/>
    <w:qFormat/>
    <w:uiPriority w:val="0"/>
    <w:rPr>
      <w:rFonts w:ascii="宋体" w:hAnsi="Courier New"/>
      <w:sz w:val="24"/>
      <w:szCs w:val="20"/>
    </w:rPr>
  </w:style>
  <w:style w:type="paragraph" w:customStyle="1" w:styleId="31">
    <w:name w:val="Date"/>
    <w:basedOn w:val="1"/>
    <w:next w:val="1"/>
    <w:qFormat/>
    <w:uiPriority w:val="0"/>
    <w:rPr>
      <w:rFonts w:ascii="Arial" w:hAnsi="Arial" w:eastAsia="KaiTi_GB2312"/>
      <w:sz w:val="28"/>
      <w:szCs w:val="20"/>
    </w:rPr>
  </w:style>
  <w:style w:type="paragraph" w:customStyle="1" w:styleId="32">
    <w:name w:val="列出段落1"/>
    <w:basedOn w:val="1"/>
    <w:qFormat/>
    <w:uiPriority w:val="34"/>
    <w:pPr>
      <w:ind w:firstLine="420" w:firstLineChars="200"/>
      <w:jc w:val="left"/>
    </w:pPr>
    <w:rPr>
      <w:rFonts w:ascii="Courier New" w:hAnsi="Courier New"/>
      <w:snapToGrid w:val="0"/>
      <w:kern w:val="0"/>
      <w:sz w:val="24"/>
      <w:szCs w:val="20"/>
      <w:lang w:eastAsia="en-US"/>
    </w:rPr>
  </w:style>
  <w:style w:type="character" w:customStyle="1" w:styleId="33">
    <w:name w:val="标题 2 Char"/>
    <w:basedOn w:val="16"/>
    <w:link w:val="3"/>
    <w:autoRedefine/>
    <w:qFormat/>
    <w:uiPriority w:val="9"/>
    <w:rPr>
      <w:rFonts w:ascii="Arial" w:hAnsi="Arial" w:eastAsia="黑体"/>
      <w:b/>
      <w:bCs/>
      <w:sz w:val="32"/>
      <w:szCs w:val="32"/>
    </w:rPr>
  </w:style>
  <w:style w:type="paragraph" w:customStyle="1" w:styleId="34">
    <w:name w:val="表格标题"/>
    <w:basedOn w:val="1"/>
    <w:qFormat/>
    <w:uiPriority w:val="0"/>
    <w:pPr>
      <w:jc w:val="center"/>
    </w:pPr>
    <w:rPr>
      <w:rFonts w:eastAsia="仿宋_GB2312"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2019</Words>
  <Characters>2141</Characters>
  <Lines>8</Lines>
  <Paragraphs>2</Paragraphs>
  <TotalTime>2</TotalTime>
  <ScaleCrop>false</ScaleCrop>
  <LinksUpToDate>false</LinksUpToDate>
  <CharactersWithSpaces>2237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农人</cp:lastModifiedBy>
  <dcterms:modified xsi:type="dcterms:W3CDTF">2025-05-26T07:45:12Z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73E2358E0465456CB3704D92857F3E21_13</vt:lpwstr>
  </property>
  <property fmtid="{D5CDD505-2E9C-101B-9397-08002B2CF9AE}" pid="4" name="KSOTemplateDocerSaveRecord">
    <vt:lpwstr>eyJoZGlkIjoiZTYyMDczZGRhZjNiZjg5MTJhMWY4ZmJkZjE0ODlhZjQiLCJ1c2VySWQiOiIyNzE2NTk1MjcifQ==</vt:lpwstr>
  </property>
</Properties>
</file>