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机房多套存储设备及数据中心运维服务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420" w:leftChars="200" w:right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机房多套存储设备及数据中心运维服务，评分方法见附件2、详细参数要求见附件3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机房多套存储设备及数据中心运维服务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</w:tr>
    </w:tbl>
    <w:p w14:paraId="265FB95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360BBA7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24A9791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20E0CC2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EF0765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1E778B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84B7899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AB53F6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8F8047A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46AB6AF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0D7C3F9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20DDAA0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B08F929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370B09D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7828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756A1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4DF9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F38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ED8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A470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77E6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CDDC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37B89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14C8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F46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资质审查与公司业绩（满分15分)</w:t>
            </w:r>
          </w:p>
          <w:p w14:paraId="0E53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每提供一条相同服务业绩得3分，满分15分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365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00BB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7AFA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A75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D1D9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79BF6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2C7E8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00C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项目报价（满分35分)</w:t>
            </w:r>
          </w:p>
          <w:p w14:paraId="59ACB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5826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7EE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061EC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4BE3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3E4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AA5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CE5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服务内容及满意度</w:t>
            </w:r>
          </w:p>
          <w:p w14:paraId="28AD6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960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满足服务内容（满分40分)每一条参数不满足扣2分扣完为止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191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6FF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F71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3A7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E97F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85E3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6F18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7994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F1B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15BD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CF7A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0B19E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964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55A6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632C8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3CC23450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机房多套存储设备及数据中心运维服务</w:t>
      </w:r>
      <w:r>
        <w:rPr>
          <w:rFonts w:hint="eastAsia" w:ascii="宋体" w:hAnsi="宋体"/>
          <w:b/>
          <w:sz w:val="28"/>
          <w:szCs w:val="28"/>
          <w:lang w:eastAsia="zh-CN"/>
        </w:rPr>
        <w:t>采购</w:t>
      </w:r>
      <w:r>
        <w:rPr>
          <w:rFonts w:hint="eastAsia" w:ascii="宋体" w:hAnsi="宋体"/>
          <w:b/>
          <w:sz w:val="28"/>
          <w:szCs w:val="28"/>
        </w:rPr>
        <w:t>相关要求</w:t>
      </w:r>
    </w:p>
    <w:p w14:paraId="0B021DAB">
      <w:pPr>
        <w:pStyle w:val="34"/>
        <w:ind w:firstLine="0" w:firstLineChars="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1、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存储及数据中心</w:t>
      </w:r>
      <w:r>
        <w:rPr>
          <w:rFonts w:hint="eastAsia" w:ascii="黑体" w:hAnsi="黑体" w:eastAsia="黑体"/>
          <w:sz w:val="28"/>
          <w:szCs w:val="28"/>
        </w:rPr>
        <w:t>运维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范围</w:t>
      </w:r>
    </w:p>
    <w:p w14:paraId="67E942B2">
      <w:pPr>
        <w:pStyle w:val="34"/>
        <w:numPr>
          <w:ilvl w:val="0"/>
          <w:numId w:val="1"/>
        </w:numPr>
        <w:ind w:firstLineChars="0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存储运维（不含配件）：</w:t>
      </w:r>
      <w:r>
        <w:rPr>
          <w:rFonts w:hint="eastAsia" w:ascii="仿宋_GB2312" w:eastAsia="仿宋_GB2312"/>
        </w:rPr>
        <w:t>首次维护前对现有DELL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  <w:lang w:val="en-US" w:eastAsia="zh-CN"/>
        </w:rPr>
        <w:t>宏杉、长城佳华等</w:t>
      </w:r>
      <w:r>
        <w:rPr>
          <w:rFonts w:hint="eastAsia" w:ascii="仿宋_GB2312" w:eastAsia="仿宋_GB2312"/>
        </w:rPr>
        <w:t>共5套存储设备提供一份完整的现状检测报告及系统风险评估，消除硬件方面的风险，使系统抗风险能力能够提高，效能能够显著提升。对机房的物理环境进行全面、详细的分析，并提出相关建议，以便减少由于物理和环境因素所导致的停机时间。制定维护方案，维护方案明确建立维护服务的目标，制定支持服务计划内容，并制作系统配置文档。</w:t>
      </w:r>
    </w:p>
    <w:p w14:paraId="5741986C">
      <w:pPr>
        <w:pStyle w:val="34"/>
        <w:numPr>
          <w:ilvl w:val="0"/>
          <w:numId w:val="1"/>
        </w:numPr>
        <w:ind w:firstLineChars="0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服务器、网络及数据库维护服务和技术支持：包括机房脱保的服务器、网络、数据库、中间件等在内的技术应急响应、故障排除和系统恢复服务。</w:t>
      </w:r>
    </w:p>
    <w:p w14:paraId="16743E5F">
      <w:pPr>
        <w:pStyle w:val="34"/>
        <w:ind w:firstLine="0" w:firstLineChars="0"/>
        <w:rPr>
          <w:rFonts w:ascii="仿宋_GB2312" w:eastAsia="仿宋_GB2312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2、服务支持</w:t>
      </w:r>
    </w:p>
    <w:p w14:paraId="569A5866">
      <w:pPr>
        <w:pStyle w:val="34"/>
        <w:numPr>
          <w:ilvl w:val="0"/>
          <w:numId w:val="2"/>
        </w:numPr>
        <w:ind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供应商技术人员具有专业认证资质。乙方通过电话为医院提供技术支持，协助医院解决系统日常运行中的问题。服务方应设立7*24小时的技术支持热线，保证医院获得软件日常维护的技术支持，保证医院关于软件的技术性问题得到及时、有效的解答，对于通过电话指导不能解决的故障，乙方在征得甲方同意后，应通过远程接入手段，登录到故障软件，进行故障诊断，查找故障出现的原因，指导现场维护人员处理故障。远程技术支持响应时间小于30分钟。</w:t>
      </w:r>
    </w:p>
    <w:p w14:paraId="5F9756DC">
      <w:pPr>
        <w:pStyle w:val="34"/>
        <w:numPr>
          <w:ilvl w:val="0"/>
          <w:numId w:val="2"/>
        </w:numPr>
        <w:ind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乙方应为本次项目组织技术服务团队，并指定专人作为项目现场巡检工程师，每季度进行一次现场健康检查，及时发现设备运行中出现的隐患，巡检完成后应有详细的巡检报告，发现问题及时整改。</w:t>
      </w:r>
    </w:p>
    <w:p w14:paraId="0370620E">
      <w:pPr>
        <w:pStyle w:val="34"/>
        <w:numPr>
          <w:ilvl w:val="0"/>
          <w:numId w:val="2"/>
        </w:numPr>
        <w:ind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提供7*24小时应急现场服务，接到报修电话后5分钟响应，安排经验丰富的技术支持工程师1小时内赶到现场分析故障原因，制定故障解决方案，并最终排除故障。</w:t>
      </w:r>
    </w:p>
    <w:p w14:paraId="4BA902EE">
      <w:pPr>
        <w:pStyle w:val="34"/>
        <w:numPr>
          <w:ilvl w:val="0"/>
          <w:numId w:val="2"/>
        </w:numPr>
        <w:ind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分析甲方设备的实际情况，量身定制出日常管理规范和操作，并提出建议方案。</w:t>
      </w:r>
    </w:p>
    <w:p w14:paraId="4F99347F">
      <w:pPr>
        <w:pStyle w:val="34"/>
        <w:numPr>
          <w:ilvl w:val="0"/>
          <w:numId w:val="2"/>
        </w:numPr>
        <w:ind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对甲方存储设备可能存在的性能问题，从系统、网络、应用软件及数据库层面存在的主要性能瓶颈，并提出针对性能瓶颈的改进方案，对设备进行整体性能的调整，以保证系统应用业务的效率。</w:t>
      </w:r>
    </w:p>
    <w:p w14:paraId="1875E4A9">
      <w:pPr>
        <w:pStyle w:val="34"/>
        <w:numPr>
          <w:ilvl w:val="0"/>
          <w:numId w:val="2"/>
        </w:numPr>
        <w:ind w:firstLineChars="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>定期组织开展存储设备培训及技术交流服务，提高甲方管理人员的操作技能和业务水平。</w:t>
      </w:r>
    </w:p>
    <w:p w14:paraId="09325108">
      <w:pPr>
        <w:spacing w:line="360" w:lineRule="auto"/>
        <w:ind w:left="359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、服务记录</w:t>
      </w:r>
    </w:p>
    <w:p w14:paraId="55D7DE0D">
      <w:pPr>
        <w:pStyle w:val="34"/>
        <w:rPr>
          <w:rFonts w:ascii="仿宋_GB2312" w:eastAsia="仿宋_GB2312"/>
        </w:rPr>
      </w:pPr>
      <w:r>
        <w:rPr>
          <w:rFonts w:hint="eastAsia" w:ascii="仿宋_GB2312" w:eastAsia="仿宋_GB2312"/>
        </w:rPr>
        <w:t>日常维护、例检、事件处理及紧急故障处理需详细记录，按时提交</w:t>
      </w:r>
      <w:r>
        <w:rPr>
          <w:rFonts w:hint="eastAsia" w:ascii="仿宋_GB2312" w:eastAsia="仿宋_GB2312"/>
          <w:lang w:val="en-US" w:eastAsia="zh-CN"/>
        </w:rPr>
        <w:t>季度</w:t>
      </w:r>
      <w:r>
        <w:rPr>
          <w:rFonts w:hint="eastAsia" w:ascii="仿宋_GB2312" w:eastAsia="仿宋_GB2312"/>
        </w:rPr>
        <w:t>工作报告、巡检记录和运维报告及年度总结报告，发现问题及时汇报整改。具体内容如下：</w:t>
      </w:r>
    </w:p>
    <w:p w14:paraId="56C34EFC">
      <w:pPr>
        <w:pStyle w:val="34"/>
        <w:numPr>
          <w:ilvl w:val="0"/>
          <w:numId w:val="3"/>
        </w:numPr>
        <w:ind w:left="851" w:hanging="371"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乙方应严格将文档管理贯穿于整个项目全过程中。文档提交及文档质量将作为甲方考核的重要依据，对不能达到服务承诺和标准的情况，甲方将制定相应的追责条款。</w:t>
      </w:r>
    </w:p>
    <w:p w14:paraId="1526FEB6">
      <w:pPr>
        <w:pStyle w:val="34"/>
        <w:numPr>
          <w:ilvl w:val="0"/>
          <w:numId w:val="3"/>
        </w:numPr>
        <w:ind w:left="851" w:hanging="371" w:firstLineChars="0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季度</w:t>
      </w:r>
      <w:r>
        <w:rPr>
          <w:rFonts w:hint="eastAsia" w:ascii="仿宋_GB2312" w:eastAsia="仿宋_GB2312"/>
        </w:rPr>
        <w:t>巡检报告。巡检工程师每月对设备提供周期性深度健康检查，及时提交详细全面的巡检报告，需要整改的就补充整改建议报告。</w:t>
      </w:r>
    </w:p>
    <w:p w14:paraId="59A76B03">
      <w:pPr>
        <w:pStyle w:val="34"/>
        <w:numPr>
          <w:ilvl w:val="0"/>
          <w:numId w:val="3"/>
        </w:numPr>
        <w:ind w:left="851" w:hanging="371"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年度服务报告。总结分析全年设备运行情况、服务统计等内容，并提出合理化改进建议，并向甲方进行正式的总结性汇报。报告及全年服务记录装订成册后于每年合同结束前10天内提交。</w:t>
      </w:r>
    </w:p>
    <w:p w14:paraId="5BFBE8EA">
      <w:pPr>
        <w:pStyle w:val="34"/>
        <w:numPr>
          <w:ilvl w:val="0"/>
          <w:numId w:val="3"/>
        </w:numPr>
        <w:ind w:left="851" w:hanging="371"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故障处理记录。对于故障处理的过程进行详细记录存档，填写《现场服务记录表》。</w:t>
      </w:r>
    </w:p>
    <w:p w14:paraId="356AB4D5">
      <w:pPr>
        <w:pStyle w:val="34"/>
        <w:numPr>
          <w:ilvl w:val="0"/>
          <w:numId w:val="3"/>
        </w:numPr>
        <w:ind w:left="851" w:hanging="371"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其它方案。根据甲方需要，如发生系统结构，安全加固，打补丁，数据迁移等计划任务时，提交相应方案，供甲方确认。</w:t>
      </w:r>
    </w:p>
    <w:p w14:paraId="4492DF1C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2C33E261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63CD1"/>
    <w:multiLevelType w:val="multilevel"/>
    <w:tmpl w:val="98363CD1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871788F"/>
    <w:multiLevelType w:val="multilevel"/>
    <w:tmpl w:val="0871788F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330D417A"/>
    <w:multiLevelType w:val="multilevel"/>
    <w:tmpl w:val="330D417A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4EE5D13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4971E86"/>
    <w:rsid w:val="16373051"/>
    <w:rsid w:val="165E7E7E"/>
    <w:rsid w:val="174F484D"/>
    <w:rsid w:val="179A4019"/>
    <w:rsid w:val="17E814B3"/>
    <w:rsid w:val="19520625"/>
    <w:rsid w:val="1A120022"/>
    <w:rsid w:val="1AD24378"/>
    <w:rsid w:val="1AE22727"/>
    <w:rsid w:val="1C042A1F"/>
    <w:rsid w:val="1F22317C"/>
    <w:rsid w:val="20784C33"/>
    <w:rsid w:val="22E542B8"/>
    <w:rsid w:val="23A76DE8"/>
    <w:rsid w:val="24D2209E"/>
    <w:rsid w:val="26B72AA4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455467A5"/>
    <w:rsid w:val="461E3079"/>
    <w:rsid w:val="46A139FD"/>
    <w:rsid w:val="481007AD"/>
    <w:rsid w:val="49E17296"/>
    <w:rsid w:val="4AC86916"/>
    <w:rsid w:val="4C5E544B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B9723D0"/>
    <w:rsid w:val="5DD6419D"/>
    <w:rsid w:val="63B25E95"/>
    <w:rsid w:val="63D74F7B"/>
    <w:rsid w:val="6604073B"/>
    <w:rsid w:val="66102866"/>
    <w:rsid w:val="66D31996"/>
    <w:rsid w:val="685F691E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  <w:rsid w:val="7F3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  <w:style w:type="paragraph" w:customStyle="1" w:styleId="34">
    <w:name w:val="BZ 标准 正文 小五，首行缩2，1.5行距"/>
    <w:basedOn w:val="1"/>
    <w:qFormat/>
    <w:uiPriority w:val="0"/>
    <w:pPr>
      <w:spacing w:line="360" w:lineRule="auto"/>
      <w:ind w:firstLine="48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2405</Words>
  <Characters>2564</Characters>
  <Lines>8</Lines>
  <Paragraphs>2</Paragraphs>
  <TotalTime>0</TotalTime>
  <ScaleCrop>false</ScaleCrop>
  <LinksUpToDate>false</LinksUpToDate>
  <CharactersWithSpaces>2670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2025-07-21T02:54:31Z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4D5689F6CC05462EBCD95CA7060D02CE_13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