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5000" w:type="pct"/>
        <w:jc w:val="center"/>
        <w:tblLayout w:type="autofit"/>
        <w:tblCellMar>
          <w:top w:w="0" w:type="dxa"/>
          <w:left w:w="108" w:type="dxa"/>
          <w:bottom w:w="0" w:type="dxa"/>
          <w:right w:w="108" w:type="dxa"/>
        </w:tblCellMar>
      </w:tblPr>
      <w:tblGrid>
        <w:gridCol w:w="8522"/>
      </w:tblGrid>
      <w:tr w14:paraId="3024E62F">
        <w:tblPrEx>
          <w:tblCellMar>
            <w:top w:w="0" w:type="dxa"/>
            <w:left w:w="108" w:type="dxa"/>
            <w:bottom w:w="0" w:type="dxa"/>
            <w:right w:w="108" w:type="dxa"/>
          </w:tblCellMar>
        </w:tblPrEx>
        <w:trPr>
          <w:trHeight w:val="820" w:hRule="atLeast"/>
          <w:jc w:val="center"/>
        </w:trPr>
        <w:tc>
          <w:tcPr>
            <w:tcW w:w="5000" w:type="pct"/>
            <w:tcBorders>
              <w:top w:val="nil"/>
              <w:left w:val="nil"/>
              <w:bottom w:val="nil"/>
              <w:right w:val="nil"/>
            </w:tcBorders>
            <w:noWrap/>
            <w:vAlign w:val="center"/>
          </w:tcPr>
          <w:p w14:paraId="021B3C5C">
            <w:pPr>
              <w:widowControl/>
              <w:jc w:val="center"/>
              <w:textAlignment w:val="center"/>
              <w:rPr>
                <w:rFonts w:ascii="FangSong_GB2312" w:hAnsi="FangSong_GB2312" w:eastAsia="FangSong_GB2312" w:cs="FangSong_GB2312"/>
                <w:b/>
                <w:bCs/>
                <w:color w:val="000000"/>
                <w:sz w:val="24"/>
              </w:rPr>
            </w:pPr>
            <w:r>
              <w:rPr>
                <w:rFonts w:hint="eastAsia" w:ascii="FangSong_GB2312" w:hAnsi="FangSong_GB2312" w:eastAsia="FangSong_GB2312" w:cs="FangSong_GB2312"/>
                <w:b/>
                <w:bCs/>
                <w:color w:val="000000"/>
                <w:kern w:val="0"/>
                <w:sz w:val="28"/>
                <w:szCs w:val="28"/>
                <w:lang w:bidi="ar"/>
              </w:rPr>
              <w:t>贵州航天医院竞争性磋商公告</w:t>
            </w:r>
          </w:p>
        </w:tc>
      </w:tr>
      <w:tr w14:paraId="08F37DA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37C146FB">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一、项目基本情况：</w:t>
            </w:r>
          </w:p>
        </w:tc>
      </w:tr>
      <w:tr w14:paraId="261E4DF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2728600">
            <w:pPr>
              <w:keepNext w:val="0"/>
              <w:keepLines w:val="0"/>
              <w:widowControl/>
              <w:suppressLineNumbers w:val="0"/>
              <w:jc w:val="left"/>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项目名称：</w:t>
            </w:r>
            <w:r>
              <w:rPr>
                <w:rFonts w:hint="eastAsia" w:ascii="FangSong_GB2312" w:hAnsi="FangSong_GB2312" w:eastAsia="FangSong_GB2312" w:cs="FangSong_GB2312"/>
                <w:color w:val="000000"/>
                <w:kern w:val="0"/>
                <w:sz w:val="24"/>
                <w:lang w:val="en-US" w:eastAsia="zh-CN" w:bidi="ar"/>
              </w:rPr>
              <w:t>医改DRGs管理信息系统采购项目</w:t>
            </w:r>
          </w:p>
        </w:tc>
      </w:tr>
      <w:tr w14:paraId="4746C0D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9619D9C">
            <w:pPr>
              <w:widowControl/>
              <w:jc w:val="left"/>
              <w:textAlignment w:val="center"/>
              <w:rPr>
                <w:rFonts w:ascii="FangSong_GB2312" w:hAnsi="FangSong_GB2312" w:eastAsia="FangSong_GB2312" w:cs="FangSong_GB2312"/>
                <w:color w:val="000000"/>
                <w:kern w:val="0"/>
                <w:sz w:val="24"/>
                <w:lang w:bidi="ar"/>
              </w:rPr>
            </w:pPr>
            <w:r>
              <w:rPr>
                <w:rFonts w:hint="eastAsia" w:ascii="FangSong_GB2312" w:hAnsi="FangSong_GB2312" w:eastAsia="FangSong_GB2312" w:cs="FangSong_GB2312"/>
                <w:color w:val="000000"/>
                <w:kern w:val="0"/>
                <w:sz w:val="24"/>
                <w:lang w:bidi="ar"/>
              </w:rPr>
              <w:t xml:space="preserve">    采购方式：竞争性磋商</w:t>
            </w:r>
          </w:p>
        </w:tc>
      </w:tr>
      <w:tr w14:paraId="21FB5D27">
        <w:tblPrEx>
          <w:tblCellMar>
            <w:top w:w="0" w:type="dxa"/>
            <w:left w:w="108" w:type="dxa"/>
            <w:bottom w:w="0" w:type="dxa"/>
            <w:right w:w="108" w:type="dxa"/>
          </w:tblCellMar>
        </w:tblPrEx>
        <w:trPr>
          <w:trHeight w:val="408" w:hRule="atLeast"/>
          <w:jc w:val="center"/>
        </w:trPr>
        <w:tc>
          <w:tcPr>
            <w:tcW w:w="5000" w:type="pct"/>
            <w:tcBorders>
              <w:top w:val="nil"/>
              <w:left w:val="nil"/>
              <w:bottom w:val="nil"/>
              <w:right w:val="nil"/>
            </w:tcBorders>
            <w:noWrap/>
            <w:vAlign w:val="center"/>
          </w:tcPr>
          <w:p w14:paraId="13588DEB">
            <w:pPr>
              <w:widowControl/>
              <w:jc w:val="left"/>
              <w:textAlignment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bidi="ar"/>
              </w:rPr>
              <w:t xml:space="preserve">    预算金额：</w:t>
            </w:r>
            <w:r>
              <w:rPr>
                <w:rFonts w:hint="eastAsia" w:ascii="FangSong_GB2312" w:hAnsi="FangSong_GB2312" w:eastAsia="FangSong_GB2312" w:cs="FangSong_GB2312"/>
                <w:color w:val="000000"/>
                <w:kern w:val="0"/>
                <w:sz w:val="24"/>
                <w:lang w:val="en-US" w:eastAsia="zh-CN" w:bidi="ar"/>
              </w:rPr>
              <w:t>20万元</w:t>
            </w:r>
          </w:p>
        </w:tc>
      </w:tr>
      <w:tr w14:paraId="02D50DE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6ADB5180">
            <w:pPr>
              <w:widowControl/>
              <w:jc w:val="left"/>
              <w:textAlignment w:val="center"/>
              <w:rPr>
                <w:rFonts w:hint="default" w:ascii="FangSong_GB2312" w:hAnsi="FangSong_GB2312" w:eastAsia="FangSong_GB2312" w:cs="FangSong_GB2312"/>
                <w:color w:val="000000"/>
                <w:kern w:val="0"/>
                <w:sz w:val="24"/>
                <w:lang w:val="en-US" w:bidi="ar"/>
              </w:rPr>
            </w:pPr>
            <w:r>
              <w:rPr>
                <w:rFonts w:hint="eastAsia" w:ascii="FangSong_GB2312" w:hAnsi="FangSong_GB2312" w:eastAsia="FangSong_GB2312" w:cs="FangSong_GB2312"/>
                <w:color w:val="000000"/>
                <w:kern w:val="0"/>
                <w:sz w:val="24"/>
                <w:lang w:bidi="ar"/>
              </w:rPr>
              <w:t xml:space="preserve">    最高限价：</w:t>
            </w:r>
            <w:r>
              <w:rPr>
                <w:rFonts w:hint="eastAsia" w:ascii="FangSong_GB2312" w:hAnsi="FangSong_GB2312" w:eastAsia="FangSong_GB2312" w:cs="FangSong_GB2312"/>
                <w:color w:val="000000"/>
                <w:kern w:val="0"/>
                <w:sz w:val="24"/>
                <w:lang w:val="en-US" w:eastAsia="zh-CN" w:bidi="ar"/>
              </w:rPr>
              <w:t>20万元</w:t>
            </w:r>
          </w:p>
        </w:tc>
      </w:tr>
      <w:tr w14:paraId="07E585D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320AE93">
            <w:pPr>
              <w:ind w:firstLine="480" w:firstLineChars="200"/>
              <w:jc w:val="left"/>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bidi="ar"/>
              </w:rPr>
              <w:t>采购需求：</w:t>
            </w:r>
            <w:r>
              <w:rPr>
                <w:rFonts w:hint="eastAsia" w:ascii="FangSong_GB2312" w:hAnsi="FangSong_GB2312" w:eastAsia="FangSong_GB2312" w:cs="FangSong_GB2312"/>
                <w:color w:val="000000"/>
                <w:kern w:val="0"/>
                <w:sz w:val="24"/>
                <w:lang w:val="en-US" w:eastAsia="zh-CN" w:bidi="ar"/>
              </w:rPr>
              <w:t>医改DRGs管理信息系统，具体要求见附件</w:t>
            </w:r>
          </w:p>
        </w:tc>
      </w:tr>
      <w:tr w14:paraId="38B15F8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C0CE5F6">
            <w:pPr>
              <w:widowControl/>
              <w:jc w:val="left"/>
              <w:textAlignment w:val="center"/>
              <w:rPr>
                <w:rFonts w:hint="eastAsia" w:ascii="FangSong_GB2312" w:hAnsi="FangSong_GB2312" w:eastAsia="FangSong_GB2312" w:cs="FangSong_GB2312"/>
                <w:color w:val="000000"/>
                <w:kern w:val="0"/>
                <w:sz w:val="24"/>
                <w:lang w:bidi="ar"/>
              </w:rPr>
            </w:pPr>
            <w:r>
              <w:rPr>
                <w:rFonts w:hint="eastAsia" w:ascii="FangSong_GB2312" w:hAnsi="FangSong_GB2312" w:eastAsia="FangSong_GB2312" w:cs="FangSong_GB2312"/>
                <w:color w:val="000000"/>
                <w:kern w:val="0"/>
                <w:sz w:val="24"/>
                <w:lang w:bidi="ar"/>
              </w:rPr>
              <w:t xml:space="preserve">    合同履行期限：合同签订之日起</w:t>
            </w:r>
            <w:r>
              <w:rPr>
                <w:rFonts w:hint="eastAsia" w:ascii="FangSong_GB2312" w:hAnsi="FangSong_GB2312" w:eastAsia="FangSong_GB2312" w:cs="FangSong_GB2312"/>
                <w:color w:val="000000"/>
                <w:kern w:val="0"/>
                <w:sz w:val="24"/>
                <w:lang w:val="en-US" w:eastAsia="zh-CN" w:bidi="ar"/>
              </w:rPr>
              <w:t>3个工作日内</w:t>
            </w:r>
            <w:r>
              <w:rPr>
                <w:rFonts w:hint="eastAsia" w:ascii="FangSong_GB2312" w:hAnsi="FangSong_GB2312" w:eastAsia="FangSong_GB2312" w:cs="FangSong_GB2312"/>
                <w:color w:val="000000"/>
                <w:kern w:val="0"/>
                <w:sz w:val="24"/>
                <w:lang w:bidi="ar"/>
              </w:rPr>
              <w:t>履行</w:t>
            </w:r>
          </w:p>
        </w:tc>
      </w:tr>
      <w:tr w14:paraId="3DF5744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F2E49A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交货地点或服务地点：贵州航天医院</w:t>
            </w:r>
          </w:p>
        </w:tc>
      </w:tr>
      <w:tr w14:paraId="7791B703">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4552DE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二、投标人资格要求：</w:t>
            </w:r>
          </w:p>
        </w:tc>
      </w:tr>
      <w:tr w14:paraId="62D49F3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C6EFC2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提供独立承担民事责任的能力，如营业执照、自然人身份证明等</w:t>
            </w:r>
          </w:p>
        </w:tc>
      </w:tr>
      <w:tr w14:paraId="2846FAC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E8F3B1">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具有良好的商业信誉和健全的财务制度，具体要求（如财务报表等）</w:t>
            </w:r>
          </w:p>
        </w:tc>
      </w:tr>
      <w:tr w14:paraId="355B248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BE8927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具有履行合同所必须的设备和专业技术能力（资料或承诺）</w:t>
            </w:r>
          </w:p>
        </w:tc>
      </w:tr>
      <w:tr w14:paraId="34FBCFF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3C0C5B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具有依法缴纳税收和社会保障金的良好记录</w:t>
            </w:r>
          </w:p>
        </w:tc>
      </w:tr>
      <w:tr w14:paraId="477D506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680F10">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参加政府采购活动前三年内，在经营活动中没有重大违法记录（书面证明）</w:t>
            </w:r>
          </w:p>
        </w:tc>
      </w:tr>
      <w:tr w14:paraId="1E3B8757">
        <w:tblPrEx>
          <w:tblCellMar>
            <w:top w:w="0" w:type="dxa"/>
            <w:left w:w="108" w:type="dxa"/>
            <w:bottom w:w="0" w:type="dxa"/>
            <w:right w:w="108" w:type="dxa"/>
          </w:tblCellMar>
        </w:tblPrEx>
        <w:trPr>
          <w:trHeight w:val="540" w:hRule="atLeast"/>
          <w:jc w:val="center"/>
        </w:trPr>
        <w:tc>
          <w:tcPr>
            <w:tcW w:w="5000" w:type="pct"/>
            <w:tcBorders>
              <w:top w:val="nil"/>
              <w:left w:val="nil"/>
              <w:bottom w:val="nil"/>
              <w:right w:val="nil"/>
            </w:tcBorders>
            <w:vAlign w:val="center"/>
          </w:tcPr>
          <w:p w14:paraId="264BD93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不是失信被执行人、重大税收违法案件当事人、政府采购严重违法失信行为人等的承诺或资料</w:t>
            </w:r>
          </w:p>
        </w:tc>
      </w:tr>
      <w:tr w14:paraId="44931612">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3A0933E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是否接受联合体投标：否</w:t>
            </w:r>
          </w:p>
        </w:tc>
      </w:tr>
      <w:tr w14:paraId="735CB40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E014EA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三、获取采购文件</w:t>
            </w:r>
          </w:p>
        </w:tc>
      </w:tr>
      <w:tr w14:paraId="08815170">
        <w:tblPrEx>
          <w:tblCellMar>
            <w:top w:w="0" w:type="dxa"/>
            <w:left w:w="108" w:type="dxa"/>
            <w:bottom w:w="0" w:type="dxa"/>
            <w:right w:w="108" w:type="dxa"/>
          </w:tblCellMar>
        </w:tblPrEx>
        <w:trPr>
          <w:trHeight w:val="640" w:hRule="atLeast"/>
          <w:jc w:val="center"/>
        </w:trPr>
        <w:tc>
          <w:tcPr>
            <w:tcW w:w="5000" w:type="pct"/>
            <w:tcBorders>
              <w:top w:val="nil"/>
              <w:left w:val="nil"/>
              <w:bottom w:val="nil"/>
              <w:right w:val="nil"/>
            </w:tcBorders>
            <w:vAlign w:val="center"/>
          </w:tcPr>
          <w:p w14:paraId="091510A2">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226982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55E3479">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获取采购文件的地点或方式：挂网公告</w:t>
            </w:r>
          </w:p>
        </w:tc>
      </w:tr>
      <w:tr w14:paraId="2C950E1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1316E57">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是否交纳投标保证金（交纳方式）：否</w:t>
            </w:r>
          </w:p>
        </w:tc>
      </w:tr>
      <w:tr w14:paraId="2F1A2FB0">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0E4A3AC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四、响应文件提交</w:t>
            </w:r>
          </w:p>
        </w:tc>
      </w:tr>
      <w:tr w14:paraId="6C2AE82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28B92BC">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截止时间：自本公告发布之日起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929AD5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C07F18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地点：贵州航天医院</w:t>
            </w:r>
            <w:r>
              <w:rPr>
                <w:rFonts w:hint="eastAsia" w:ascii="FangSong_GB2312" w:hAnsi="FangSong_GB2312" w:eastAsia="FangSong_GB2312" w:cs="FangSong_GB2312"/>
                <w:color w:val="000000"/>
                <w:kern w:val="0"/>
                <w:sz w:val="24"/>
                <w:lang w:eastAsia="zh-CN" w:bidi="ar"/>
              </w:rPr>
              <w:t>外科综合楼一楼</w:t>
            </w:r>
            <w:r>
              <w:rPr>
                <w:rFonts w:hint="eastAsia" w:ascii="FangSong_GB2312" w:hAnsi="FangSong_GB2312" w:eastAsia="FangSong_GB2312" w:cs="FangSong_GB2312"/>
                <w:color w:val="000000"/>
                <w:kern w:val="0"/>
                <w:sz w:val="24"/>
                <w:lang w:bidi="ar"/>
              </w:rPr>
              <w:t>医学装备部</w:t>
            </w:r>
            <w:r>
              <w:rPr>
                <w:rFonts w:hint="eastAsia" w:ascii="FangSong_GB2312" w:hAnsi="FangSong_GB2312" w:eastAsia="FangSong_GB2312" w:cs="FangSong_GB2312"/>
                <w:color w:val="000000"/>
                <w:kern w:val="0"/>
                <w:sz w:val="24"/>
                <w:lang w:val="en-US" w:eastAsia="zh-CN" w:bidi="ar"/>
              </w:rPr>
              <w:t>赵老师</w:t>
            </w:r>
            <w:r>
              <w:rPr>
                <w:rFonts w:hint="eastAsia" w:ascii="FangSong_GB2312" w:hAnsi="FangSong_GB2312" w:eastAsia="FangSong_GB2312" w:cs="FangSong_GB2312"/>
                <w:color w:val="000000"/>
                <w:kern w:val="0"/>
                <w:sz w:val="24"/>
                <w:lang w:bidi="ar"/>
              </w:rPr>
              <w:t>收，联系电话：0851-</w:t>
            </w:r>
            <w:r>
              <w:rPr>
                <w:rFonts w:hint="eastAsia" w:asciiTheme="minorEastAsia" w:hAnsiTheme="minorEastAsia" w:eastAsiaTheme="minorEastAsia" w:cstheme="minorEastAsia"/>
                <w:color w:val="000000"/>
                <w:kern w:val="0"/>
                <w:sz w:val="24"/>
                <w:lang w:bidi="ar"/>
              </w:rPr>
              <w:t>27677989</w:t>
            </w:r>
            <w:bookmarkStart w:id="0" w:name="_GoBack"/>
            <w:bookmarkEnd w:id="0"/>
          </w:p>
        </w:tc>
      </w:tr>
      <w:tr w14:paraId="5AA8DD6C">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CF2E34E">
            <w:pPr>
              <w:widowControl/>
              <w:jc w:val="left"/>
              <w:textAlignment w:val="center"/>
              <w:rPr>
                <w:rFonts w:hint="eastAsia" w:ascii="FangSong_GB2312" w:hAnsi="FangSong_GB2312" w:eastAsia="FangSong_GB2312" w:cs="FangSong_GB2312"/>
                <w:color w:val="000000"/>
                <w:sz w:val="24"/>
                <w:lang w:eastAsia="zh-CN"/>
              </w:rPr>
            </w:pPr>
            <w:r>
              <w:rPr>
                <w:rFonts w:hint="eastAsia" w:ascii="FangSong_GB2312" w:hAnsi="FangSong_GB2312" w:eastAsia="FangSong_GB2312" w:cs="FangSong_GB2312"/>
                <w:color w:val="000000"/>
                <w:kern w:val="0"/>
                <w:sz w:val="24"/>
                <w:lang w:bidi="ar"/>
              </w:rPr>
              <w:t xml:space="preserve">    开启：（是否见面、纸质或电子）</w:t>
            </w:r>
            <w:r>
              <w:rPr>
                <w:rFonts w:hint="eastAsia" w:ascii="FangSong_GB2312" w:hAnsi="FangSong_GB2312" w:eastAsia="FangSong_GB2312" w:cs="FangSong_GB2312"/>
                <w:color w:val="000000"/>
                <w:kern w:val="0"/>
                <w:sz w:val="24"/>
                <w:lang w:eastAsia="zh-CN" w:bidi="ar"/>
              </w:rPr>
              <w:t>纸质版密封</w:t>
            </w:r>
          </w:p>
        </w:tc>
      </w:tr>
      <w:tr w14:paraId="176FD30C">
        <w:tblPrEx>
          <w:tblCellMar>
            <w:top w:w="0" w:type="dxa"/>
            <w:left w:w="108" w:type="dxa"/>
            <w:bottom w:w="0" w:type="dxa"/>
            <w:right w:w="108" w:type="dxa"/>
          </w:tblCellMar>
        </w:tblPrEx>
        <w:trPr>
          <w:trHeight w:val="443" w:hRule="atLeast"/>
          <w:jc w:val="center"/>
        </w:trPr>
        <w:tc>
          <w:tcPr>
            <w:tcW w:w="5000" w:type="pct"/>
            <w:tcBorders>
              <w:top w:val="nil"/>
              <w:left w:val="nil"/>
              <w:bottom w:val="nil"/>
              <w:right w:val="nil"/>
            </w:tcBorders>
            <w:vAlign w:val="center"/>
          </w:tcPr>
          <w:p w14:paraId="5F3F855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五、联系人及联系方式：</w:t>
            </w:r>
            <w:r>
              <w:rPr>
                <w:rFonts w:hint="eastAsia" w:ascii="FangSong_GB2312" w:hAnsi="FangSong_GB2312" w:eastAsia="FangSong_GB2312" w:cs="FangSong_GB2312"/>
                <w:color w:val="000000"/>
                <w:kern w:val="0"/>
                <w:sz w:val="24"/>
                <w:lang w:val="en-US" w:eastAsia="zh-CN" w:bidi="ar"/>
              </w:rPr>
              <w:t>采购办</w:t>
            </w:r>
            <w:r>
              <w:rPr>
                <w:rFonts w:hint="eastAsia" w:ascii="FangSong_GB2312" w:hAnsi="FangSong_GB2312" w:eastAsia="FangSong_GB2312" w:cs="FangSong_GB2312"/>
                <w:color w:val="000000"/>
                <w:kern w:val="0"/>
                <w:sz w:val="24"/>
                <w:lang w:eastAsia="zh-CN" w:bidi="ar"/>
              </w:rPr>
              <w:t>陈</w:t>
            </w:r>
            <w:r>
              <w:rPr>
                <w:rFonts w:hint="eastAsia" w:ascii="FangSong_GB2312" w:hAnsi="FangSong_GB2312" w:eastAsia="FangSong_GB2312" w:cs="FangSong_GB2312"/>
                <w:color w:val="000000"/>
                <w:kern w:val="0"/>
                <w:sz w:val="24"/>
                <w:lang w:val="en-US" w:eastAsia="zh-CN" w:bidi="ar"/>
              </w:rPr>
              <w:t>老师</w:t>
            </w:r>
            <w:r>
              <w:rPr>
                <w:rFonts w:hint="eastAsia" w:ascii="FangSong_GB2312" w:hAnsi="FangSong_GB2312" w:eastAsia="FangSong_GB2312" w:cs="FangSong_GB2312"/>
                <w:color w:val="000000"/>
                <w:kern w:val="0"/>
                <w:sz w:val="24"/>
                <w:lang w:bidi="ar"/>
              </w:rPr>
              <w:t>，联系电话：0851-</w:t>
            </w:r>
            <w:r>
              <w:rPr>
                <w:rFonts w:hint="eastAsia" w:asciiTheme="minorEastAsia" w:hAnsiTheme="minorEastAsia" w:eastAsiaTheme="minorEastAsia" w:cstheme="minorEastAsia"/>
                <w:color w:val="000000"/>
                <w:kern w:val="0"/>
                <w:sz w:val="24"/>
                <w:lang w:bidi="ar"/>
              </w:rPr>
              <w:t>27677989</w:t>
            </w:r>
          </w:p>
        </w:tc>
      </w:tr>
    </w:tbl>
    <w:p w14:paraId="7CC65435">
      <w:pPr>
        <w:jc w:val="left"/>
        <w:rPr>
          <w:rFonts w:hint="eastAsia"/>
          <w:b/>
          <w:bCs/>
          <w:sz w:val="30"/>
          <w:szCs w:val="30"/>
          <w:lang w:eastAsia="zh-CN"/>
        </w:rPr>
      </w:pPr>
    </w:p>
    <w:p w14:paraId="26A7AE86">
      <w:pPr>
        <w:jc w:val="left"/>
        <w:rPr>
          <w:rFonts w:hint="eastAsia"/>
          <w:b/>
          <w:bCs/>
          <w:sz w:val="30"/>
          <w:szCs w:val="30"/>
          <w:lang w:eastAsia="zh-CN"/>
        </w:rPr>
      </w:pPr>
    </w:p>
    <w:p w14:paraId="1BBFF895">
      <w:pPr>
        <w:pStyle w:val="2"/>
        <w:rPr>
          <w:rFonts w:hint="eastAsia"/>
          <w:lang w:eastAsia="zh-CN"/>
        </w:rPr>
      </w:pPr>
    </w:p>
    <w:p w14:paraId="6B123A5F">
      <w:pPr>
        <w:jc w:val="left"/>
        <w:rPr>
          <w:rFonts w:hint="eastAsia"/>
          <w:b/>
          <w:bCs/>
          <w:sz w:val="30"/>
          <w:szCs w:val="30"/>
          <w:lang w:val="en-US" w:eastAsia="zh-CN"/>
        </w:rPr>
      </w:pPr>
      <w:r>
        <w:rPr>
          <w:rFonts w:hint="eastAsia"/>
          <w:b/>
          <w:bCs/>
          <w:sz w:val="30"/>
          <w:szCs w:val="30"/>
          <w:lang w:val="en-US" w:eastAsia="zh-CN"/>
        </w:rPr>
        <w:t>附件：</w:t>
      </w:r>
    </w:p>
    <w:p w14:paraId="102A1937">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620" w:lineRule="exact"/>
        <w:jc w:val="center"/>
        <w:textAlignment w:val="auto"/>
        <w:outlineLvl w:val="0"/>
        <w:rPr>
          <w:rFonts w:hint="eastAsia" w:ascii="方正小标宋简体" w:hAnsi="方正小标宋简体" w:eastAsia="方正小标宋简体" w:cs="方正小标宋简体"/>
          <w:b w:val="0"/>
          <w:bCs w:val="0"/>
          <w:sz w:val="28"/>
          <w:szCs w:val="28"/>
          <w:lang w:val="en-US" w:eastAsia="zh-CN"/>
        </w:rPr>
      </w:pPr>
      <w:r>
        <w:rPr>
          <w:rFonts w:hint="eastAsia" w:ascii="方正小标宋简体" w:hAnsi="方正小标宋简体" w:eastAsia="方正小标宋简体" w:cs="方正小标宋简体"/>
          <w:b w:val="0"/>
          <w:bCs w:val="0"/>
          <w:sz w:val="28"/>
          <w:szCs w:val="28"/>
          <w:lang w:val="en-US" w:eastAsia="zh-CN"/>
        </w:rPr>
        <w:t>贵州航天医院医改DRGs管理系统参数</w:t>
      </w:r>
    </w:p>
    <w:p w14:paraId="119E2BF1">
      <w:pPr>
        <w:keepNext w:val="0"/>
        <w:keepLines w:val="0"/>
        <w:pageBreakBefore w:val="0"/>
        <w:widowControl/>
        <w:numPr>
          <w:ilvl w:val="0"/>
          <w:numId w:val="1"/>
        </w:numPr>
        <w:kinsoku/>
        <w:wordWrap/>
        <w:overflowPunct/>
        <w:topLinePunct w:val="0"/>
        <w:autoSpaceDE/>
        <w:autoSpaceDN/>
        <w:bidi w:val="0"/>
        <w:adjustRightInd/>
        <w:snapToGrid/>
        <w:spacing w:line="240" w:lineRule="auto"/>
        <w:jc w:val="left"/>
        <w:textAlignment w:val="auto"/>
        <w:outlineLvl w:val="0"/>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val="en-US" w:eastAsia="zh-CN"/>
        </w:rPr>
        <w:t>总体要求</w:t>
      </w:r>
    </w:p>
    <w:p w14:paraId="61245156">
      <w:pP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1.系统设计科学、合理，系统使用方便；</w:t>
      </w:r>
    </w:p>
    <w:p w14:paraId="0E6C5829">
      <w:pP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2.要求以B/S架构部署，软件系统以浏览器为统一操作界面；</w:t>
      </w:r>
    </w:p>
    <w:p w14:paraId="6709BD33">
      <w:pP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3.需要与医院现有的HIS系统进行对接；</w:t>
      </w:r>
    </w:p>
    <w:p w14:paraId="37C3727A">
      <w:pP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4.满足信创新形势下的平台建设和数据安全需要，产品全面适配信创框架，支持国产芯片、服务器及整机、操作系统、数据库及中间件等。</w:t>
      </w:r>
    </w:p>
    <w:p w14:paraId="1E54A4E4">
      <w:pP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5.应充分考虑满足投标项目的建设要求，具备完整的项目管理、项目实施、项目培训、售后服务方案。</w:t>
      </w:r>
    </w:p>
    <w:p w14:paraId="41C787A6">
      <w:pP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6.必须提供可靠的售后服务保障，保证提供长期、稳定的技术支持服务。</w:t>
      </w:r>
    </w:p>
    <w:p w14:paraId="6D571DC3">
      <w:pP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7.其他要求</w:t>
      </w:r>
    </w:p>
    <w:p w14:paraId="1DF1E6A9">
      <w:pPr>
        <w:bidi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项目建设期及售后服务期内需满足：（1）项目报价包含本系统的接口改造费用；（2）项目报价包含第三方接口及系统改造所需费用；（3）维护期内确保系统免费升级到最新版本；（4）系统建设必须达到《信息安全技术信息系统安全等级保护基本要求》三级或以上要求，必须满足《医院信息互联互通标准化成熟度测评方案》四级甲等指标及《电子病历系统应用水平分级评价标准》五级所有相关的指标要求，项目报价包含系统改造的费用；（5）系统服务器同时能够支持国产CPU、操作系统、数据库系统，并且项目报价包含系统支持国产化要求改造的费用；（6）项目报价包含项目实施以及免费运维期内数据库维护及安装，以及数据库的使用费用；（7）项目报价包含项目实施以及免费运维期内根据政策要求对系统进行调整优化和升级的费用；（8）支持移动应用技术：结合企业微信，根据用户需要提供相应功能；（9）本次采购的系统包含实施费、接口费及1年以上免费维保，服务合同期内个性化定制全免费，医院管理范围内不限制使用地域。</w:t>
      </w:r>
    </w:p>
    <w:p w14:paraId="7AEC931E">
      <w:pPr>
        <w:keepNext w:val="0"/>
        <w:keepLines w:val="0"/>
        <w:pageBreakBefore w:val="0"/>
        <w:widowControl/>
        <w:numPr>
          <w:ilvl w:val="0"/>
          <w:numId w:val="1"/>
        </w:numPr>
        <w:kinsoku/>
        <w:wordWrap/>
        <w:overflowPunct/>
        <w:topLinePunct w:val="0"/>
        <w:autoSpaceDE/>
        <w:autoSpaceDN/>
        <w:bidi w:val="0"/>
        <w:adjustRightInd/>
        <w:snapToGrid/>
        <w:spacing w:line="240" w:lineRule="auto"/>
        <w:jc w:val="left"/>
        <w:textAlignment w:val="auto"/>
        <w:outlineLvl w:val="0"/>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val="en-US" w:eastAsia="zh-CN"/>
        </w:rPr>
        <w:t>功能参数</w:t>
      </w:r>
    </w:p>
    <w:tbl>
      <w:tblPr>
        <w:tblStyle w:val="14"/>
        <w:tblW w:w="51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14"/>
        <w:gridCol w:w="1175"/>
        <w:gridCol w:w="1233"/>
        <w:gridCol w:w="5128"/>
      </w:tblGrid>
      <w:tr w14:paraId="46391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2" w:hRule="atLeast"/>
          <w:jc w:val="center"/>
        </w:trPr>
        <w:tc>
          <w:tcPr>
            <w:tcW w:w="693" w:type="pct"/>
            <w:shd w:val="clear" w:color="auto" w:fill="auto"/>
            <w:noWrap/>
            <w:vAlign w:val="center"/>
          </w:tcPr>
          <w:p w14:paraId="4F018AD2">
            <w:pPr>
              <w:keepNext w:val="0"/>
              <w:keepLines w:val="0"/>
              <w:widowControl/>
              <w:suppressLineNumbers w:val="0"/>
              <w:jc w:val="both"/>
              <w:textAlignment w:val="center"/>
              <w:rPr>
                <w:rFonts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一级菜单</w:t>
            </w:r>
          </w:p>
        </w:tc>
        <w:tc>
          <w:tcPr>
            <w:tcW w:w="671" w:type="pct"/>
            <w:shd w:val="clear" w:color="auto" w:fill="auto"/>
            <w:noWrap/>
            <w:vAlign w:val="center"/>
          </w:tcPr>
          <w:p w14:paraId="706729F7">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二级菜单</w:t>
            </w:r>
          </w:p>
        </w:tc>
        <w:tc>
          <w:tcPr>
            <w:tcW w:w="704" w:type="pct"/>
            <w:shd w:val="clear" w:color="auto" w:fill="auto"/>
            <w:noWrap/>
            <w:vAlign w:val="center"/>
          </w:tcPr>
          <w:p w14:paraId="2EAEBE97">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三级菜单</w:t>
            </w:r>
          </w:p>
        </w:tc>
        <w:tc>
          <w:tcPr>
            <w:tcW w:w="2930" w:type="pct"/>
            <w:shd w:val="clear" w:color="auto" w:fill="auto"/>
            <w:noWrap/>
            <w:vAlign w:val="center"/>
          </w:tcPr>
          <w:p w14:paraId="1408139C">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页面描述</w:t>
            </w:r>
          </w:p>
        </w:tc>
      </w:tr>
      <w:tr w14:paraId="2DB6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jc w:val="center"/>
        </w:trPr>
        <w:tc>
          <w:tcPr>
            <w:tcW w:w="693" w:type="pct"/>
            <w:vMerge w:val="restart"/>
            <w:shd w:val="clear" w:color="auto" w:fill="auto"/>
            <w:noWrap/>
            <w:vAlign w:val="center"/>
          </w:tcPr>
          <w:p w14:paraId="61C586FF">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综合能力</w:t>
            </w:r>
          </w:p>
        </w:tc>
        <w:tc>
          <w:tcPr>
            <w:tcW w:w="671" w:type="pct"/>
            <w:vMerge w:val="restart"/>
            <w:shd w:val="clear" w:color="auto" w:fill="auto"/>
            <w:noWrap/>
            <w:vAlign w:val="center"/>
          </w:tcPr>
          <w:p w14:paraId="5705BB22">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CMI分析</w:t>
            </w:r>
          </w:p>
        </w:tc>
        <w:tc>
          <w:tcPr>
            <w:tcW w:w="704" w:type="pct"/>
            <w:shd w:val="clear" w:color="auto" w:fill="auto"/>
            <w:noWrap/>
            <w:vAlign w:val="center"/>
          </w:tcPr>
          <w:p w14:paraId="67247F2F">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全院总览</w:t>
            </w:r>
          </w:p>
        </w:tc>
        <w:tc>
          <w:tcPr>
            <w:tcW w:w="2930" w:type="pct"/>
            <w:shd w:val="clear" w:color="auto" w:fill="auto"/>
            <w:noWrap/>
            <w:vAlign w:val="center"/>
          </w:tcPr>
          <w:p w14:paraId="0B60F9DD">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根据住院病案首页按卫健委DRG入组后数据进行系统分析，得到院内DRG总量、CMI、组数、时间指数、费用指数等指标值并且展示了同一时间段院内数据的同比、增长率以及各项指标每个月度的数据情况</w:t>
            </w:r>
          </w:p>
        </w:tc>
      </w:tr>
      <w:tr w14:paraId="013B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jc w:val="center"/>
        </w:trPr>
        <w:tc>
          <w:tcPr>
            <w:tcW w:w="693" w:type="pct"/>
            <w:vMerge w:val="continue"/>
            <w:shd w:val="clear" w:color="auto" w:fill="auto"/>
            <w:noWrap/>
            <w:vAlign w:val="center"/>
          </w:tcPr>
          <w:p w14:paraId="58CD94E4">
            <w:pPr>
              <w:jc w:val="both"/>
              <w:rPr>
                <w:rFonts w:hint="eastAsia" w:ascii="仿宋_GB2312" w:hAnsi="宋体" w:eastAsia="仿宋_GB2312" w:cs="仿宋_GB2312"/>
                <w:i w:val="0"/>
                <w:iCs w:val="0"/>
                <w:color w:val="000000"/>
                <w:sz w:val="18"/>
                <w:szCs w:val="18"/>
                <w:u w:val="none"/>
              </w:rPr>
            </w:pPr>
          </w:p>
        </w:tc>
        <w:tc>
          <w:tcPr>
            <w:tcW w:w="671" w:type="pct"/>
            <w:vMerge w:val="continue"/>
            <w:shd w:val="clear" w:color="auto" w:fill="auto"/>
            <w:noWrap/>
            <w:vAlign w:val="center"/>
          </w:tcPr>
          <w:p w14:paraId="483D7903">
            <w:pPr>
              <w:jc w:val="both"/>
              <w:rPr>
                <w:rFonts w:hint="eastAsia" w:ascii="仿宋_GB2312" w:hAnsi="宋体" w:eastAsia="仿宋_GB2312" w:cs="仿宋_GB2312"/>
                <w:i w:val="0"/>
                <w:iCs w:val="0"/>
                <w:color w:val="000000"/>
                <w:sz w:val="18"/>
                <w:szCs w:val="18"/>
                <w:u w:val="none"/>
              </w:rPr>
            </w:pPr>
          </w:p>
        </w:tc>
        <w:tc>
          <w:tcPr>
            <w:tcW w:w="704" w:type="pct"/>
            <w:shd w:val="clear" w:color="auto" w:fill="auto"/>
            <w:noWrap/>
            <w:vAlign w:val="center"/>
          </w:tcPr>
          <w:p w14:paraId="5DBE394D">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科室总览</w:t>
            </w:r>
          </w:p>
        </w:tc>
        <w:tc>
          <w:tcPr>
            <w:tcW w:w="2930" w:type="pct"/>
            <w:shd w:val="clear" w:color="auto" w:fill="auto"/>
            <w:noWrap/>
            <w:vAlign w:val="center"/>
          </w:tcPr>
          <w:p w14:paraId="295BCBC6">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根据住院病案首页按卫健委DRG入组后数据进行系统分析，按一级科室/二院科室DRG总量、CMI、组数等指标值并且展示了同一时间段院内数据的同比、占比以及各项指标情况</w:t>
            </w:r>
          </w:p>
        </w:tc>
      </w:tr>
      <w:tr w14:paraId="39335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3" w:type="pct"/>
            <w:vMerge w:val="continue"/>
            <w:shd w:val="clear" w:color="auto" w:fill="auto"/>
            <w:noWrap/>
            <w:vAlign w:val="center"/>
          </w:tcPr>
          <w:p w14:paraId="41CF7FEE">
            <w:pPr>
              <w:jc w:val="both"/>
              <w:rPr>
                <w:rFonts w:hint="eastAsia" w:ascii="仿宋_GB2312" w:hAnsi="宋体" w:eastAsia="仿宋_GB2312" w:cs="仿宋_GB2312"/>
                <w:i w:val="0"/>
                <w:iCs w:val="0"/>
                <w:color w:val="000000"/>
                <w:sz w:val="18"/>
                <w:szCs w:val="18"/>
                <w:u w:val="none"/>
              </w:rPr>
            </w:pPr>
          </w:p>
        </w:tc>
        <w:tc>
          <w:tcPr>
            <w:tcW w:w="671" w:type="pct"/>
            <w:vMerge w:val="continue"/>
            <w:shd w:val="clear" w:color="auto" w:fill="auto"/>
            <w:noWrap/>
            <w:vAlign w:val="center"/>
          </w:tcPr>
          <w:p w14:paraId="0529082D">
            <w:pPr>
              <w:jc w:val="both"/>
              <w:rPr>
                <w:rFonts w:hint="eastAsia" w:ascii="仿宋_GB2312" w:hAnsi="宋体" w:eastAsia="仿宋_GB2312" w:cs="仿宋_GB2312"/>
                <w:i w:val="0"/>
                <w:iCs w:val="0"/>
                <w:color w:val="000000"/>
                <w:sz w:val="18"/>
                <w:szCs w:val="18"/>
                <w:u w:val="none"/>
              </w:rPr>
            </w:pPr>
          </w:p>
        </w:tc>
        <w:tc>
          <w:tcPr>
            <w:tcW w:w="704" w:type="pct"/>
            <w:shd w:val="clear" w:color="auto" w:fill="auto"/>
            <w:noWrap/>
            <w:vAlign w:val="center"/>
          </w:tcPr>
          <w:p w14:paraId="3415173D">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CMI影响力</w:t>
            </w:r>
          </w:p>
        </w:tc>
        <w:tc>
          <w:tcPr>
            <w:tcW w:w="2930" w:type="pct"/>
            <w:shd w:val="clear" w:color="auto" w:fill="auto"/>
            <w:noWrap/>
            <w:vAlign w:val="center"/>
          </w:tcPr>
          <w:p w14:paraId="4FCBFDAB">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根据住院病案首页按卫健委DRG入组后数据进行系统分析，所有科室的CMI对全院CMI的影响力。负数的数值越大，对全院CMI负向影响越大，对全院CMI拉低效果越大；正数的数值越大，对全院CMI正影响越大，对全院CMI提升效果越大</w:t>
            </w:r>
          </w:p>
        </w:tc>
      </w:tr>
      <w:tr w14:paraId="5708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3" w:type="pct"/>
            <w:vMerge w:val="continue"/>
            <w:shd w:val="clear" w:color="auto" w:fill="auto"/>
            <w:noWrap/>
            <w:vAlign w:val="center"/>
          </w:tcPr>
          <w:p w14:paraId="4A87FD47">
            <w:pPr>
              <w:jc w:val="both"/>
              <w:rPr>
                <w:rFonts w:hint="eastAsia" w:ascii="仿宋_GB2312" w:hAnsi="宋体" w:eastAsia="仿宋_GB2312" w:cs="仿宋_GB2312"/>
                <w:i w:val="0"/>
                <w:iCs w:val="0"/>
                <w:color w:val="000000"/>
                <w:sz w:val="18"/>
                <w:szCs w:val="18"/>
                <w:u w:val="none"/>
              </w:rPr>
            </w:pPr>
          </w:p>
        </w:tc>
        <w:tc>
          <w:tcPr>
            <w:tcW w:w="671" w:type="pct"/>
            <w:vMerge w:val="restart"/>
            <w:shd w:val="clear" w:color="auto" w:fill="auto"/>
            <w:noWrap/>
            <w:vAlign w:val="center"/>
          </w:tcPr>
          <w:p w14:paraId="0045F8A3">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病种结构</w:t>
            </w:r>
          </w:p>
        </w:tc>
        <w:tc>
          <w:tcPr>
            <w:tcW w:w="704" w:type="pct"/>
            <w:shd w:val="clear" w:color="auto" w:fill="auto"/>
            <w:noWrap/>
            <w:vAlign w:val="center"/>
          </w:tcPr>
          <w:p w14:paraId="47462722">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病种运营结构</w:t>
            </w:r>
          </w:p>
        </w:tc>
        <w:tc>
          <w:tcPr>
            <w:tcW w:w="2930" w:type="pct"/>
            <w:shd w:val="clear" w:color="auto" w:fill="auto"/>
            <w:noWrap/>
            <w:vAlign w:val="center"/>
          </w:tcPr>
          <w:p w14:paraId="58FB1A0C">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展示院内所有的DRG组/病种在科室相关数据指标情况，针对每一个DRG组的诊疗效率情况，找到薄弱项进行提升</w:t>
            </w:r>
          </w:p>
        </w:tc>
      </w:tr>
      <w:tr w14:paraId="68A9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3" w:type="pct"/>
            <w:vMerge w:val="continue"/>
            <w:shd w:val="clear" w:color="auto" w:fill="auto"/>
            <w:noWrap/>
            <w:vAlign w:val="center"/>
          </w:tcPr>
          <w:p w14:paraId="4B897B6C">
            <w:pPr>
              <w:jc w:val="both"/>
              <w:rPr>
                <w:rFonts w:hint="eastAsia" w:ascii="仿宋_GB2312" w:hAnsi="宋体" w:eastAsia="仿宋_GB2312" w:cs="仿宋_GB2312"/>
                <w:i w:val="0"/>
                <w:iCs w:val="0"/>
                <w:color w:val="000000"/>
                <w:sz w:val="18"/>
                <w:szCs w:val="18"/>
                <w:u w:val="none"/>
              </w:rPr>
            </w:pPr>
          </w:p>
        </w:tc>
        <w:tc>
          <w:tcPr>
            <w:tcW w:w="671" w:type="pct"/>
            <w:vMerge w:val="continue"/>
            <w:shd w:val="clear" w:color="auto" w:fill="auto"/>
            <w:noWrap/>
            <w:vAlign w:val="center"/>
          </w:tcPr>
          <w:p w14:paraId="71F7CB5F">
            <w:pPr>
              <w:jc w:val="both"/>
              <w:rPr>
                <w:rFonts w:hint="eastAsia" w:ascii="仿宋_GB2312" w:hAnsi="宋体" w:eastAsia="仿宋_GB2312" w:cs="仿宋_GB2312"/>
                <w:i w:val="0"/>
                <w:iCs w:val="0"/>
                <w:color w:val="000000"/>
                <w:sz w:val="18"/>
                <w:szCs w:val="18"/>
                <w:u w:val="none"/>
              </w:rPr>
            </w:pPr>
          </w:p>
        </w:tc>
        <w:tc>
          <w:tcPr>
            <w:tcW w:w="704" w:type="pct"/>
            <w:shd w:val="clear" w:color="auto" w:fill="auto"/>
            <w:noWrap/>
            <w:vAlign w:val="center"/>
          </w:tcPr>
          <w:p w14:paraId="33C4AB47">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病种诊疗结构</w:t>
            </w:r>
          </w:p>
        </w:tc>
        <w:tc>
          <w:tcPr>
            <w:tcW w:w="2930" w:type="pct"/>
            <w:shd w:val="clear" w:color="auto" w:fill="auto"/>
            <w:noWrap/>
            <w:vAlign w:val="center"/>
          </w:tcPr>
          <w:p w14:paraId="02BB79FD">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展示全院/科室/医生，收治患者大部分集中在不同RW分段区间内，展示诊疗不同RW分段区间内全院/科室/医生的药占比、总费用、住院天数、耗占比、服务性收入占比、时间指数、费用指数等指标值</w:t>
            </w:r>
          </w:p>
        </w:tc>
      </w:tr>
      <w:tr w14:paraId="29FE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3" w:type="pct"/>
            <w:vMerge w:val="continue"/>
            <w:shd w:val="clear" w:color="auto" w:fill="auto"/>
            <w:noWrap/>
            <w:vAlign w:val="center"/>
          </w:tcPr>
          <w:p w14:paraId="6C015871">
            <w:pPr>
              <w:jc w:val="both"/>
              <w:rPr>
                <w:rFonts w:hint="eastAsia" w:ascii="仿宋_GB2312" w:hAnsi="宋体" w:eastAsia="仿宋_GB2312" w:cs="仿宋_GB2312"/>
                <w:i w:val="0"/>
                <w:iCs w:val="0"/>
                <w:color w:val="000000"/>
                <w:sz w:val="18"/>
                <w:szCs w:val="18"/>
                <w:u w:val="none"/>
              </w:rPr>
            </w:pPr>
          </w:p>
        </w:tc>
        <w:tc>
          <w:tcPr>
            <w:tcW w:w="671" w:type="pct"/>
            <w:vMerge w:val="continue"/>
            <w:shd w:val="clear" w:color="auto" w:fill="auto"/>
            <w:noWrap/>
            <w:vAlign w:val="center"/>
          </w:tcPr>
          <w:p w14:paraId="117A3082">
            <w:pPr>
              <w:jc w:val="both"/>
              <w:rPr>
                <w:rFonts w:hint="eastAsia" w:ascii="仿宋_GB2312" w:hAnsi="宋体" w:eastAsia="仿宋_GB2312" w:cs="仿宋_GB2312"/>
                <w:i w:val="0"/>
                <w:iCs w:val="0"/>
                <w:color w:val="000000"/>
                <w:sz w:val="18"/>
                <w:szCs w:val="18"/>
                <w:u w:val="none"/>
              </w:rPr>
            </w:pPr>
          </w:p>
        </w:tc>
        <w:tc>
          <w:tcPr>
            <w:tcW w:w="704" w:type="pct"/>
            <w:shd w:val="clear" w:color="auto" w:fill="auto"/>
            <w:noWrap/>
            <w:vAlign w:val="center"/>
          </w:tcPr>
          <w:p w14:paraId="515D97E1">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病种分段结构</w:t>
            </w:r>
          </w:p>
        </w:tc>
        <w:tc>
          <w:tcPr>
            <w:tcW w:w="2930" w:type="pct"/>
            <w:shd w:val="clear" w:color="auto" w:fill="auto"/>
            <w:noWrap/>
            <w:vAlign w:val="center"/>
          </w:tcPr>
          <w:p w14:paraId="65462504">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展示不同的RW分段区间内科室收治的患者数量由高到低进行排序（默认展示排名前五的科室）并且展示各科室的诊疗效率</w:t>
            </w:r>
          </w:p>
        </w:tc>
      </w:tr>
      <w:tr w14:paraId="3A29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693" w:type="pct"/>
            <w:vMerge w:val="continue"/>
            <w:shd w:val="clear" w:color="auto" w:fill="auto"/>
            <w:noWrap/>
            <w:vAlign w:val="center"/>
          </w:tcPr>
          <w:p w14:paraId="4D655E81">
            <w:pPr>
              <w:jc w:val="both"/>
              <w:rPr>
                <w:rFonts w:hint="eastAsia" w:ascii="仿宋_GB2312" w:hAnsi="宋体" w:eastAsia="仿宋_GB2312" w:cs="仿宋_GB2312"/>
                <w:i w:val="0"/>
                <w:iCs w:val="0"/>
                <w:color w:val="000000"/>
                <w:sz w:val="18"/>
                <w:szCs w:val="18"/>
                <w:u w:val="none"/>
              </w:rPr>
            </w:pPr>
          </w:p>
        </w:tc>
        <w:tc>
          <w:tcPr>
            <w:tcW w:w="671" w:type="pct"/>
            <w:vMerge w:val="continue"/>
            <w:shd w:val="clear" w:color="auto" w:fill="auto"/>
            <w:noWrap/>
            <w:vAlign w:val="center"/>
          </w:tcPr>
          <w:p w14:paraId="2CAAC56E">
            <w:pPr>
              <w:jc w:val="both"/>
              <w:rPr>
                <w:rFonts w:hint="eastAsia" w:ascii="仿宋_GB2312" w:hAnsi="宋体" w:eastAsia="仿宋_GB2312" w:cs="仿宋_GB2312"/>
                <w:i w:val="0"/>
                <w:iCs w:val="0"/>
                <w:color w:val="000000"/>
                <w:sz w:val="18"/>
                <w:szCs w:val="18"/>
                <w:u w:val="none"/>
              </w:rPr>
            </w:pPr>
          </w:p>
        </w:tc>
        <w:tc>
          <w:tcPr>
            <w:tcW w:w="704" w:type="pct"/>
            <w:shd w:val="clear" w:color="auto" w:fill="auto"/>
            <w:noWrap/>
            <w:vAlign w:val="center"/>
          </w:tcPr>
          <w:p w14:paraId="774D422F">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病种诊疗差异</w:t>
            </w:r>
          </w:p>
        </w:tc>
        <w:tc>
          <w:tcPr>
            <w:tcW w:w="2930" w:type="pct"/>
            <w:shd w:val="clear" w:color="auto" w:fill="auto"/>
            <w:noWrap/>
            <w:vAlign w:val="center"/>
          </w:tcPr>
          <w:p w14:paraId="5BFBF823">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展示在收治同一DRG组/病种的情况下，不同科室的诊疗效率差异，药占比、总费用、住院天数、耗占比、服务性收入占比等数据</w:t>
            </w:r>
          </w:p>
        </w:tc>
      </w:tr>
      <w:tr w14:paraId="3E06D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3" w:type="pct"/>
            <w:vMerge w:val="continue"/>
            <w:shd w:val="clear" w:color="auto" w:fill="auto"/>
            <w:noWrap/>
            <w:vAlign w:val="center"/>
          </w:tcPr>
          <w:p w14:paraId="24BE6468">
            <w:pPr>
              <w:jc w:val="both"/>
              <w:rPr>
                <w:rFonts w:hint="eastAsia" w:ascii="仿宋_GB2312" w:hAnsi="宋体" w:eastAsia="仿宋_GB2312" w:cs="仿宋_GB2312"/>
                <w:i w:val="0"/>
                <w:iCs w:val="0"/>
                <w:color w:val="000000"/>
                <w:sz w:val="18"/>
                <w:szCs w:val="18"/>
                <w:u w:val="none"/>
              </w:rPr>
            </w:pPr>
          </w:p>
        </w:tc>
        <w:tc>
          <w:tcPr>
            <w:tcW w:w="671" w:type="pct"/>
            <w:vMerge w:val="restart"/>
            <w:shd w:val="clear" w:color="auto" w:fill="auto"/>
            <w:noWrap/>
            <w:vAlign w:val="center"/>
          </w:tcPr>
          <w:p w14:paraId="5742ACF6">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疑难病例</w:t>
            </w:r>
          </w:p>
        </w:tc>
        <w:tc>
          <w:tcPr>
            <w:tcW w:w="704" w:type="pct"/>
            <w:shd w:val="clear" w:color="auto" w:fill="auto"/>
            <w:noWrap/>
            <w:vAlign w:val="center"/>
          </w:tcPr>
          <w:p w14:paraId="26AF3F1A">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全院总览</w:t>
            </w:r>
          </w:p>
        </w:tc>
        <w:tc>
          <w:tcPr>
            <w:tcW w:w="2930" w:type="pct"/>
            <w:shd w:val="clear" w:color="auto" w:fill="auto"/>
            <w:noWrap/>
            <w:vAlign w:val="center"/>
          </w:tcPr>
          <w:p w14:paraId="2B110FA2">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根据住院病案首页按卫健委DRG入组后数据进行系统分析，针对RW≥2的患者得到院内DRG总量、CMI、组数、时间指数、费用指数等指标值并且展示了同一时间段院内数据的同比、增长率以及各项指标情况</w:t>
            </w:r>
          </w:p>
        </w:tc>
      </w:tr>
      <w:tr w14:paraId="56179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jc w:val="center"/>
        </w:trPr>
        <w:tc>
          <w:tcPr>
            <w:tcW w:w="693" w:type="pct"/>
            <w:vMerge w:val="continue"/>
            <w:shd w:val="clear" w:color="auto" w:fill="auto"/>
            <w:noWrap/>
            <w:vAlign w:val="center"/>
          </w:tcPr>
          <w:p w14:paraId="0DCE6CD0">
            <w:pPr>
              <w:jc w:val="both"/>
              <w:rPr>
                <w:rFonts w:hint="eastAsia" w:ascii="仿宋_GB2312" w:hAnsi="宋体" w:eastAsia="仿宋_GB2312" w:cs="仿宋_GB2312"/>
                <w:i w:val="0"/>
                <w:iCs w:val="0"/>
                <w:color w:val="000000"/>
                <w:sz w:val="18"/>
                <w:szCs w:val="18"/>
                <w:u w:val="none"/>
              </w:rPr>
            </w:pPr>
          </w:p>
        </w:tc>
        <w:tc>
          <w:tcPr>
            <w:tcW w:w="671" w:type="pct"/>
            <w:vMerge w:val="continue"/>
            <w:shd w:val="clear" w:color="auto" w:fill="auto"/>
            <w:noWrap/>
            <w:vAlign w:val="center"/>
          </w:tcPr>
          <w:p w14:paraId="3390222D">
            <w:pPr>
              <w:jc w:val="both"/>
              <w:rPr>
                <w:rFonts w:hint="eastAsia" w:ascii="仿宋_GB2312" w:hAnsi="宋体" w:eastAsia="仿宋_GB2312" w:cs="仿宋_GB2312"/>
                <w:i w:val="0"/>
                <w:iCs w:val="0"/>
                <w:color w:val="000000"/>
                <w:sz w:val="18"/>
                <w:szCs w:val="18"/>
                <w:u w:val="none"/>
              </w:rPr>
            </w:pPr>
          </w:p>
        </w:tc>
        <w:tc>
          <w:tcPr>
            <w:tcW w:w="704" w:type="pct"/>
            <w:shd w:val="clear" w:color="auto" w:fill="auto"/>
            <w:noWrap/>
            <w:vAlign w:val="center"/>
          </w:tcPr>
          <w:p w14:paraId="130FF068">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科室总览</w:t>
            </w:r>
          </w:p>
        </w:tc>
        <w:tc>
          <w:tcPr>
            <w:tcW w:w="2930" w:type="pct"/>
            <w:shd w:val="clear" w:color="auto" w:fill="auto"/>
            <w:noWrap/>
            <w:vAlign w:val="center"/>
          </w:tcPr>
          <w:p w14:paraId="0FE1F2E7">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根据住院病案首页按卫健委DRG入组后数据进行系统分析，针对RW≥2的患者得到科室DRG总量、CMI、组数、时间指数费用指数等指标值并且展示了同一时间段院内数据的同比、以及各项指标和本院科室间排名情况</w:t>
            </w:r>
          </w:p>
        </w:tc>
      </w:tr>
      <w:tr w14:paraId="18AAB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3" w:type="pct"/>
            <w:vMerge w:val="continue"/>
            <w:shd w:val="clear" w:color="auto" w:fill="auto"/>
            <w:noWrap/>
            <w:vAlign w:val="center"/>
          </w:tcPr>
          <w:p w14:paraId="2562D44E">
            <w:pPr>
              <w:jc w:val="both"/>
              <w:rPr>
                <w:rFonts w:hint="eastAsia" w:ascii="仿宋_GB2312" w:hAnsi="宋体" w:eastAsia="仿宋_GB2312" w:cs="仿宋_GB2312"/>
                <w:i w:val="0"/>
                <w:iCs w:val="0"/>
                <w:color w:val="000000"/>
                <w:sz w:val="18"/>
                <w:szCs w:val="18"/>
                <w:u w:val="none"/>
              </w:rPr>
            </w:pPr>
          </w:p>
        </w:tc>
        <w:tc>
          <w:tcPr>
            <w:tcW w:w="671" w:type="pct"/>
            <w:vMerge w:val="continue"/>
            <w:shd w:val="clear" w:color="auto" w:fill="auto"/>
            <w:noWrap/>
            <w:vAlign w:val="center"/>
          </w:tcPr>
          <w:p w14:paraId="621BD17F">
            <w:pPr>
              <w:jc w:val="both"/>
              <w:rPr>
                <w:rFonts w:hint="eastAsia" w:ascii="仿宋_GB2312" w:hAnsi="宋体" w:eastAsia="仿宋_GB2312" w:cs="仿宋_GB2312"/>
                <w:i w:val="0"/>
                <w:iCs w:val="0"/>
                <w:color w:val="000000"/>
                <w:sz w:val="18"/>
                <w:szCs w:val="18"/>
                <w:u w:val="none"/>
              </w:rPr>
            </w:pPr>
          </w:p>
        </w:tc>
        <w:tc>
          <w:tcPr>
            <w:tcW w:w="704" w:type="pct"/>
            <w:shd w:val="clear" w:color="auto" w:fill="auto"/>
            <w:noWrap/>
            <w:vAlign w:val="center"/>
          </w:tcPr>
          <w:p w14:paraId="5BC243FB">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疑难病例分析</w:t>
            </w:r>
          </w:p>
        </w:tc>
        <w:tc>
          <w:tcPr>
            <w:tcW w:w="2930" w:type="pct"/>
            <w:shd w:val="clear" w:color="auto" w:fill="auto"/>
            <w:noWrap/>
            <w:vAlign w:val="center"/>
          </w:tcPr>
          <w:p w14:paraId="44353B69">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展示每个科室收治的RW≥2的出院病人，在科室纬度的数据指标情况。展示每个科室收治的RW≥2的出院病人，在医生纬度的数据指标情况。</w:t>
            </w:r>
          </w:p>
        </w:tc>
      </w:tr>
      <w:tr w14:paraId="7B5F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jc w:val="center"/>
        </w:trPr>
        <w:tc>
          <w:tcPr>
            <w:tcW w:w="693" w:type="pct"/>
            <w:vMerge w:val="continue"/>
            <w:shd w:val="clear" w:color="auto" w:fill="auto"/>
            <w:noWrap/>
            <w:vAlign w:val="center"/>
          </w:tcPr>
          <w:p w14:paraId="07FC9F60">
            <w:pPr>
              <w:jc w:val="both"/>
              <w:rPr>
                <w:rFonts w:hint="eastAsia" w:ascii="仿宋_GB2312" w:hAnsi="宋体" w:eastAsia="仿宋_GB2312" w:cs="仿宋_GB2312"/>
                <w:i w:val="0"/>
                <w:iCs w:val="0"/>
                <w:color w:val="000000"/>
                <w:sz w:val="18"/>
                <w:szCs w:val="18"/>
                <w:u w:val="none"/>
              </w:rPr>
            </w:pPr>
          </w:p>
        </w:tc>
        <w:tc>
          <w:tcPr>
            <w:tcW w:w="671" w:type="pct"/>
            <w:vMerge w:val="restart"/>
            <w:shd w:val="clear" w:color="auto" w:fill="auto"/>
            <w:noWrap/>
            <w:vAlign w:val="center"/>
          </w:tcPr>
          <w:p w14:paraId="55C5E292">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手术分析</w:t>
            </w:r>
          </w:p>
        </w:tc>
        <w:tc>
          <w:tcPr>
            <w:tcW w:w="704" w:type="pct"/>
            <w:shd w:val="clear" w:color="auto" w:fill="auto"/>
            <w:noWrap/>
            <w:vAlign w:val="center"/>
          </w:tcPr>
          <w:p w14:paraId="75D93EEC">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全院总览</w:t>
            </w:r>
          </w:p>
        </w:tc>
        <w:tc>
          <w:tcPr>
            <w:tcW w:w="2930" w:type="pct"/>
            <w:shd w:val="clear" w:color="auto" w:fill="auto"/>
            <w:noWrap/>
            <w:vAlign w:val="center"/>
          </w:tcPr>
          <w:p w14:paraId="5C3599ED">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根据住院病案首页数据统计全院的所有手术、介入治疗、治疗性操作、诊断性情况包括（国考四级、国考日间及国考微创手术），将相应数据指标按每月、同比、环比展示情况的查看</w:t>
            </w:r>
          </w:p>
        </w:tc>
      </w:tr>
      <w:tr w14:paraId="60259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jc w:val="center"/>
        </w:trPr>
        <w:tc>
          <w:tcPr>
            <w:tcW w:w="693" w:type="pct"/>
            <w:vMerge w:val="continue"/>
            <w:shd w:val="clear" w:color="auto" w:fill="auto"/>
            <w:noWrap/>
            <w:vAlign w:val="center"/>
          </w:tcPr>
          <w:p w14:paraId="6A86B0AE">
            <w:pPr>
              <w:jc w:val="both"/>
              <w:rPr>
                <w:rFonts w:hint="eastAsia" w:ascii="仿宋_GB2312" w:hAnsi="宋体" w:eastAsia="仿宋_GB2312" w:cs="仿宋_GB2312"/>
                <w:i w:val="0"/>
                <w:iCs w:val="0"/>
                <w:color w:val="000000"/>
                <w:sz w:val="18"/>
                <w:szCs w:val="18"/>
                <w:u w:val="none"/>
              </w:rPr>
            </w:pPr>
          </w:p>
        </w:tc>
        <w:tc>
          <w:tcPr>
            <w:tcW w:w="671" w:type="pct"/>
            <w:vMerge w:val="continue"/>
            <w:shd w:val="clear" w:color="auto" w:fill="auto"/>
            <w:noWrap/>
            <w:vAlign w:val="center"/>
          </w:tcPr>
          <w:p w14:paraId="1A2CD46D">
            <w:pPr>
              <w:jc w:val="both"/>
              <w:rPr>
                <w:rFonts w:hint="eastAsia" w:ascii="仿宋_GB2312" w:hAnsi="宋体" w:eastAsia="仿宋_GB2312" w:cs="仿宋_GB2312"/>
                <w:i w:val="0"/>
                <w:iCs w:val="0"/>
                <w:color w:val="000000"/>
                <w:sz w:val="18"/>
                <w:szCs w:val="18"/>
                <w:u w:val="none"/>
              </w:rPr>
            </w:pPr>
          </w:p>
        </w:tc>
        <w:tc>
          <w:tcPr>
            <w:tcW w:w="704" w:type="pct"/>
            <w:shd w:val="clear" w:color="auto" w:fill="auto"/>
            <w:noWrap/>
            <w:vAlign w:val="center"/>
          </w:tcPr>
          <w:p w14:paraId="19560511">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科室总览</w:t>
            </w:r>
          </w:p>
        </w:tc>
        <w:tc>
          <w:tcPr>
            <w:tcW w:w="2930" w:type="pct"/>
            <w:shd w:val="clear" w:color="auto" w:fill="auto"/>
            <w:noWrap/>
            <w:vAlign w:val="center"/>
          </w:tcPr>
          <w:p w14:paraId="13EEB4E9">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根据住院病案首页数据统计全院的所有手术、介入治疗、治疗性操作、诊断性情况包括（国考四级、国考日间及国考微创手术），将相应数据指标按每月、同比、环比展示，以及院内排名情况的查看</w:t>
            </w:r>
          </w:p>
        </w:tc>
      </w:tr>
      <w:tr w14:paraId="6D6D7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693" w:type="pct"/>
            <w:vMerge w:val="continue"/>
            <w:shd w:val="clear" w:color="auto" w:fill="auto"/>
            <w:noWrap/>
            <w:vAlign w:val="center"/>
          </w:tcPr>
          <w:p w14:paraId="7E73952E">
            <w:pPr>
              <w:jc w:val="both"/>
              <w:rPr>
                <w:rFonts w:hint="eastAsia" w:ascii="仿宋_GB2312" w:hAnsi="宋体" w:eastAsia="仿宋_GB2312" w:cs="仿宋_GB2312"/>
                <w:i w:val="0"/>
                <w:iCs w:val="0"/>
                <w:color w:val="000000"/>
                <w:sz w:val="18"/>
                <w:szCs w:val="18"/>
                <w:u w:val="none"/>
              </w:rPr>
            </w:pPr>
          </w:p>
        </w:tc>
        <w:tc>
          <w:tcPr>
            <w:tcW w:w="671" w:type="pct"/>
            <w:vMerge w:val="continue"/>
            <w:shd w:val="clear" w:color="auto" w:fill="auto"/>
            <w:noWrap/>
            <w:vAlign w:val="center"/>
          </w:tcPr>
          <w:p w14:paraId="10074CF6">
            <w:pPr>
              <w:jc w:val="both"/>
              <w:rPr>
                <w:rFonts w:hint="eastAsia" w:ascii="仿宋_GB2312" w:hAnsi="宋体" w:eastAsia="仿宋_GB2312" w:cs="仿宋_GB2312"/>
                <w:i w:val="0"/>
                <w:iCs w:val="0"/>
                <w:color w:val="000000"/>
                <w:sz w:val="18"/>
                <w:szCs w:val="18"/>
                <w:u w:val="none"/>
              </w:rPr>
            </w:pPr>
          </w:p>
        </w:tc>
        <w:tc>
          <w:tcPr>
            <w:tcW w:w="704" w:type="pct"/>
            <w:vMerge w:val="restart"/>
            <w:shd w:val="clear" w:color="auto" w:fill="auto"/>
            <w:noWrap/>
            <w:vAlign w:val="center"/>
          </w:tcPr>
          <w:p w14:paraId="45019529">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手术分析</w:t>
            </w:r>
          </w:p>
        </w:tc>
        <w:tc>
          <w:tcPr>
            <w:tcW w:w="2930" w:type="pct"/>
            <w:shd w:val="clear" w:color="auto" w:fill="auto"/>
            <w:noWrap/>
            <w:vAlign w:val="center"/>
          </w:tcPr>
          <w:p w14:paraId="57FD6802">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展示以患者离院科室和术者所在科室俩个维度展示手术及操作情况相关数据指标、占比和手术操作的数据。</w:t>
            </w:r>
          </w:p>
        </w:tc>
      </w:tr>
      <w:tr w14:paraId="6655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3" w:type="pct"/>
            <w:vMerge w:val="continue"/>
            <w:shd w:val="clear" w:color="auto" w:fill="auto"/>
            <w:noWrap/>
            <w:vAlign w:val="center"/>
          </w:tcPr>
          <w:p w14:paraId="0D176D24">
            <w:pPr>
              <w:jc w:val="both"/>
              <w:rPr>
                <w:rFonts w:hint="eastAsia" w:ascii="仿宋_GB2312" w:hAnsi="宋体" w:eastAsia="仿宋_GB2312" w:cs="仿宋_GB2312"/>
                <w:i w:val="0"/>
                <w:iCs w:val="0"/>
                <w:color w:val="000000"/>
                <w:sz w:val="18"/>
                <w:szCs w:val="18"/>
                <w:u w:val="none"/>
              </w:rPr>
            </w:pPr>
          </w:p>
        </w:tc>
        <w:tc>
          <w:tcPr>
            <w:tcW w:w="671" w:type="pct"/>
            <w:vMerge w:val="continue"/>
            <w:shd w:val="clear" w:color="auto" w:fill="auto"/>
            <w:noWrap/>
            <w:vAlign w:val="center"/>
          </w:tcPr>
          <w:p w14:paraId="7CC838C6">
            <w:pPr>
              <w:jc w:val="both"/>
              <w:rPr>
                <w:rFonts w:hint="eastAsia" w:ascii="仿宋_GB2312" w:hAnsi="宋体" w:eastAsia="仿宋_GB2312" w:cs="仿宋_GB2312"/>
                <w:i w:val="0"/>
                <w:iCs w:val="0"/>
                <w:color w:val="000000"/>
                <w:sz w:val="18"/>
                <w:szCs w:val="18"/>
                <w:u w:val="none"/>
              </w:rPr>
            </w:pPr>
          </w:p>
        </w:tc>
        <w:tc>
          <w:tcPr>
            <w:tcW w:w="704" w:type="pct"/>
            <w:vMerge w:val="continue"/>
            <w:shd w:val="clear" w:color="auto" w:fill="auto"/>
            <w:noWrap/>
            <w:vAlign w:val="center"/>
          </w:tcPr>
          <w:p w14:paraId="02C2AE33">
            <w:pPr>
              <w:jc w:val="both"/>
              <w:rPr>
                <w:rFonts w:hint="eastAsia" w:ascii="仿宋_GB2312" w:hAnsi="宋体" w:eastAsia="仿宋_GB2312" w:cs="仿宋_GB2312"/>
                <w:i w:val="0"/>
                <w:iCs w:val="0"/>
                <w:color w:val="000000"/>
                <w:sz w:val="18"/>
                <w:szCs w:val="18"/>
                <w:u w:val="none"/>
              </w:rPr>
            </w:pPr>
          </w:p>
        </w:tc>
        <w:tc>
          <w:tcPr>
            <w:tcW w:w="2930" w:type="pct"/>
            <w:shd w:val="clear" w:color="auto" w:fill="auto"/>
            <w:noWrap/>
            <w:vAlign w:val="center"/>
          </w:tcPr>
          <w:p w14:paraId="1C9EA67E">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展示以术者维度展示手术及操作情况相关数据指标、占比和手术操作的数据。</w:t>
            </w:r>
          </w:p>
        </w:tc>
      </w:tr>
      <w:tr w14:paraId="22958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3" w:type="pct"/>
            <w:vMerge w:val="continue"/>
            <w:shd w:val="clear" w:color="auto" w:fill="auto"/>
            <w:noWrap/>
            <w:vAlign w:val="center"/>
          </w:tcPr>
          <w:p w14:paraId="7B28B328">
            <w:pPr>
              <w:jc w:val="both"/>
              <w:rPr>
                <w:rFonts w:hint="eastAsia" w:ascii="仿宋_GB2312" w:hAnsi="宋体" w:eastAsia="仿宋_GB2312" w:cs="仿宋_GB2312"/>
                <w:i w:val="0"/>
                <w:iCs w:val="0"/>
                <w:color w:val="000000"/>
                <w:sz w:val="18"/>
                <w:szCs w:val="18"/>
                <w:u w:val="none"/>
              </w:rPr>
            </w:pPr>
          </w:p>
        </w:tc>
        <w:tc>
          <w:tcPr>
            <w:tcW w:w="671" w:type="pct"/>
            <w:vMerge w:val="continue"/>
            <w:shd w:val="clear" w:color="auto" w:fill="auto"/>
            <w:noWrap/>
            <w:vAlign w:val="center"/>
          </w:tcPr>
          <w:p w14:paraId="662FB309">
            <w:pPr>
              <w:jc w:val="both"/>
              <w:rPr>
                <w:rFonts w:hint="eastAsia" w:ascii="仿宋_GB2312" w:hAnsi="宋体" w:eastAsia="仿宋_GB2312" w:cs="仿宋_GB2312"/>
                <w:i w:val="0"/>
                <w:iCs w:val="0"/>
                <w:color w:val="000000"/>
                <w:sz w:val="18"/>
                <w:szCs w:val="18"/>
                <w:u w:val="none"/>
              </w:rPr>
            </w:pPr>
          </w:p>
        </w:tc>
        <w:tc>
          <w:tcPr>
            <w:tcW w:w="704" w:type="pct"/>
            <w:vMerge w:val="continue"/>
            <w:shd w:val="clear" w:color="auto" w:fill="auto"/>
            <w:noWrap/>
            <w:vAlign w:val="center"/>
          </w:tcPr>
          <w:p w14:paraId="753C9CE0">
            <w:pPr>
              <w:jc w:val="both"/>
              <w:rPr>
                <w:rFonts w:hint="eastAsia" w:ascii="仿宋_GB2312" w:hAnsi="宋体" w:eastAsia="仿宋_GB2312" w:cs="仿宋_GB2312"/>
                <w:i w:val="0"/>
                <w:iCs w:val="0"/>
                <w:color w:val="000000"/>
                <w:sz w:val="18"/>
                <w:szCs w:val="18"/>
                <w:u w:val="none"/>
              </w:rPr>
            </w:pPr>
          </w:p>
        </w:tc>
        <w:tc>
          <w:tcPr>
            <w:tcW w:w="2930" w:type="pct"/>
            <w:shd w:val="clear" w:color="auto" w:fill="auto"/>
            <w:noWrap/>
            <w:vAlign w:val="center"/>
          </w:tcPr>
          <w:p w14:paraId="77B2E624">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展示以手术/操作维度展示手术及操作情况相关数据指标、占比和手术操作的数据。</w:t>
            </w:r>
          </w:p>
        </w:tc>
      </w:tr>
      <w:tr w14:paraId="4614B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3" w:type="pct"/>
            <w:vMerge w:val="continue"/>
            <w:shd w:val="clear" w:color="auto" w:fill="auto"/>
            <w:noWrap/>
            <w:vAlign w:val="center"/>
          </w:tcPr>
          <w:p w14:paraId="6810FB7C">
            <w:pPr>
              <w:jc w:val="both"/>
              <w:rPr>
                <w:rFonts w:hint="eastAsia" w:ascii="仿宋_GB2312" w:hAnsi="宋体" w:eastAsia="仿宋_GB2312" w:cs="仿宋_GB2312"/>
                <w:i w:val="0"/>
                <w:iCs w:val="0"/>
                <w:color w:val="000000"/>
                <w:sz w:val="18"/>
                <w:szCs w:val="18"/>
                <w:u w:val="none"/>
              </w:rPr>
            </w:pPr>
          </w:p>
        </w:tc>
        <w:tc>
          <w:tcPr>
            <w:tcW w:w="671" w:type="pct"/>
            <w:vMerge w:val="continue"/>
            <w:shd w:val="clear" w:color="auto" w:fill="auto"/>
            <w:noWrap/>
            <w:vAlign w:val="center"/>
          </w:tcPr>
          <w:p w14:paraId="46CCD80E">
            <w:pPr>
              <w:jc w:val="both"/>
              <w:rPr>
                <w:rFonts w:hint="eastAsia" w:ascii="仿宋_GB2312" w:hAnsi="宋体" w:eastAsia="仿宋_GB2312" w:cs="仿宋_GB2312"/>
                <w:i w:val="0"/>
                <w:iCs w:val="0"/>
                <w:color w:val="000000"/>
                <w:sz w:val="18"/>
                <w:szCs w:val="18"/>
                <w:u w:val="none"/>
              </w:rPr>
            </w:pPr>
          </w:p>
        </w:tc>
        <w:tc>
          <w:tcPr>
            <w:tcW w:w="704" w:type="pct"/>
            <w:shd w:val="clear" w:color="auto" w:fill="auto"/>
            <w:noWrap/>
            <w:vAlign w:val="center"/>
          </w:tcPr>
          <w:p w14:paraId="2EE882FC">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手术操作明细</w:t>
            </w:r>
          </w:p>
        </w:tc>
        <w:tc>
          <w:tcPr>
            <w:tcW w:w="2930" w:type="pct"/>
            <w:shd w:val="clear" w:color="auto" w:fill="auto"/>
            <w:noWrap/>
            <w:vAlign w:val="center"/>
          </w:tcPr>
          <w:p w14:paraId="590C07A1">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以人次（显示患者手术操作省考级别最高的一项）/例次（患者做过的所有手术操作）俩个维度分别统计手术例次及其省考等级和国考等级。</w:t>
            </w:r>
          </w:p>
        </w:tc>
      </w:tr>
      <w:tr w14:paraId="6836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693" w:type="pct"/>
            <w:vMerge w:val="continue"/>
            <w:shd w:val="clear" w:color="auto" w:fill="auto"/>
            <w:noWrap/>
            <w:vAlign w:val="center"/>
          </w:tcPr>
          <w:p w14:paraId="136891FD">
            <w:pPr>
              <w:jc w:val="both"/>
              <w:rPr>
                <w:rFonts w:hint="eastAsia" w:ascii="仿宋_GB2312" w:hAnsi="宋体" w:eastAsia="仿宋_GB2312" w:cs="仿宋_GB2312"/>
                <w:i w:val="0"/>
                <w:iCs w:val="0"/>
                <w:color w:val="000000"/>
                <w:sz w:val="18"/>
                <w:szCs w:val="18"/>
                <w:u w:val="none"/>
              </w:rPr>
            </w:pPr>
          </w:p>
        </w:tc>
        <w:tc>
          <w:tcPr>
            <w:tcW w:w="671" w:type="pct"/>
            <w:vMerge w:val="restart"/>
            <w:shd w:val="clear" w:color="auto" w:fill="auto"/>
            <w:noWrap/>
            <w:vAlign w:val="center"/>
          </w:tcPr>
          <w:p w14:paraId="5F066B06">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医疗安全</w:t>
            </w:r>
          </w:p>
        </w:tc>
        <w:tc>
          <w:tcPr>
            <w:tcW w:w="704" w:type="pct"/>
            <w:shd w:val="clear" w:color="auto" w:fill="auto"/>
            <w:noWrap/>
            <w:vAlign w:val="center"/>
          </w:tcPr>
          <w:p w14:paraId="76352F40">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死亡病例总览</w:t>
            </w:r>
          </w:p>
        </w:tc>
        <w:tc>
          <w:tcPr>
            <w:tcW w:w="2930" w:type="pct"/>
            <w:shd w:val="clear" w:color="auto" w:fill="auto"/>
            <w:noWrap/>
            <w:vAlign w:val="center"/>
          </w:tcPr>
          <w:p w14:paraId="66ED11E8">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按科室统计全院死亡的病案</w:t>
            </w:r>
          </w:p>
        </w:tc>
      </w:tr>
      <w:tr w14:paraId="3DF00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93" w:type="pct"/>
            <w:vMerge w:val="continue"/>
            <w:shd w:val="clear" w:color="auto" w:fill="auto"/>
            <w:noWrap/>
            <w:vAlign w:val="center"/>
          </w:tcPr>
          <w:p w14:paraId="0FFE74F5">
            <w:pPr>
              <w:jc w:val="both"/>
              <w:rPr>
                <w:rFonts w:hint="eastAsia" w:ascii="仿宋_GB2312" w:hAnsi="宋体" w:eastAsia="仿宋_GB2312" w:cs="仿宋_GB2312"/>
                <w:i w:val="0"/>
                <w:iCs w:val="0"/>
                <w:color w:val="000000"/>
                <w:sz w:val="18"/>
                <w:szCs w:val="18"/>
                <w:u w:val="none"/>
              </w:rPr>
            </w:pPr>
          </w:p>
        </w:tc>
        <w:tc>
          <w:tcPr>
            <w:tcW w:w="671" w:type="pct"/>
            <w:vMerge w:val="continue"/>
            <w:shd w:val="clear" w:color="auto" w:fill="auto"/>
            <w:noWrap/>
            <w:vAlign w:val="center"/>
          </w:tcPr>
          <w:p w14:paraId="173CAB18">
            <w:pPr>
              <w:jc w:val="both"/>
              <w:rPr>
                <w:rFonts w:hint="eastAsia" w:ascii="仿宋_GB2312" w:hAnsi="宋体" w:eastAsia="仿宋_GB2312" w:cs="仿宋_GB2312"/>
                <w:i w:val="0"/>
                <w:iCs w:val="0"/>
                <w:color w:val="000000"/>
                <w:sz w:val="18"/>
                <w:szCs w:val="18"/>
                <w:u w:val="none"/>
              </w:rPr>
            </w:pPr>
          </w:p>
        </w:tc>
        <w:tc>
          <w:tcPr>
            <w:tcW w:w="704" w:type="pct"/>
            <w:shd w:val="clear" w:color="auto" w:fill="auto"/>
            <w:noWrap/>
            <w:vAlign w:val="center"/>
          </w:tcPr>
          <w:p w14:paraId="1EDE07A1">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死亡病例</w:t>
            </w:r>
          </w:p>
        </w:tc>
        <w:tc>
          <w:tcPr>
            <w:tcW w:w="2930" w:type="pct"/>
            <w:shd w:val="clear" w:color="auto" w:fill="auto"/>
            <w:noWrap/>
            <w:vAlign w:val="center"/>
          </w:tcPr>
          <w:p w14:paraId="2258E314">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展示全院死亡的病案明细</w:t>
            </w:r>
          </w:p>
        </w:tc>
      </w:tr>
      <w:tr w14:paraId="43B34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93" w:type="pct"/>
            <w:vMerge w:val="continue"/>
            <w:shd w:val="clear" w:color="auto" w:fill="auto"/>
            <w:noWrap/>
            <w:vAlign w:val="center"/>
          </w:tcPr>
          <w:p w14:paraId="3DEB6D4F">
            <w:pPr>
              <w:jc w:val="both"/>
              <w:rPr>
                <w:rFonts w:hint="eastAsia" w:ascii="仿宋_GB2312" w:hAnsi="宋体" w:eastAsia="仿宋_GB2312" w:cs="仿宋_GB2312"/>
                <w:i w:val="0"/>
                <w:iCs w:val="0"/>
                <w:color w:val="000000"/>
                <w:sz w:val="18"/>
                <w:szCs w:val="18"/>
                <w:u w:val="none"/>
              </w:rPr>
            </w:pPr>
          </w:p>
        </w:tc>
        <w:tc>
          <w:tcPr>
            <w:tcW w:w="671" w:type="pct"/>
            <w:vMerge w:val="continue"/>
            <w:shd w:val="clear" w:color="auto" w:fill="auto"/>
            <w:noWrap/>
            <w:vAlign w:val="center"/>
          </w:tcPr>
          <w:p w14:paraId="7E021607">
            <w:pPr>
              <w:jc w:val="both"/>
              <w:rPr>
                <w:rFonts w:hint="eastAsia" w:ascii="仿宋_GB2312" w:hAnsi="宋体" w:eastAsia="仿宋_GB2312" w:cs="仿宋_GB2312"/>
                <w:i w:val="0"/>
                <w:iCs w:val="0"/>
                <w:color w:val="000000"/>
                <w:sz w:val="18"/>
                <w:szCs w:val="18"/>
                <w:u w:val="none"/>
              </w:rPr>
            </w:pPr>
          </w:p>
        </w:tc>
        <w:tc>
          <w:tcPr>
            <w:tcW w:w="704" w:type="pct"/>
            <w:shd w:val="clear" w:color="auto" w:fill="auto"/>
            <w:noWrap/>
            <w:vAlign w:val="center"/>
          </w:tcPr>
          <w:p w14:paraId="65E54B46">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重返病例</w:t>
            </w:r>
          </w:p>
        </w:tc>
        <w:tc>
          <w:tcPr>
            <w:tcW w:w="2930" w:type="pct"/>
            <w:shd w:val="clear" w:color="auto" w:fill="auto"/>
            <w:noWrap/>
            <w:vAlign w:val="center"/>
          </w:tcPr>
          <w:p w14:paraId="14062A8B">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展示全院在1天、15天、31天住院重返、48小时手术重返病案情况</w:t>
            </w:r>
          </w:p>
        </w:tc>
      </w:tr>
      <w:tr w14:paraId="46AE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3" w:type="pct"/>
            <w:vMerge w:val="continue"/>
            <w:shd w:val="clear" w:color="auto" w:fill="auto"/>
            <w:noWrap/>
            <w:vAlign w:val="center"/>
          </w:tcPr>
          <w:p w14:paraId="7B43FD9D">
            <w:pPr>
              <w:jc w:val="both"/>
              <w:rPr>
                <w:rFonts w:hint="eastAsia" w:ascii="仿宋_GB2312" w:hAnsi="宋体" w:eastAsia="仿宋_GB2312" w:cs="仿宋_GB2312"/>
                <w:i w:val="0"/>
                <w:iCs w:val="0"/>
                <w:color w:val="000000"/>
                <w:sz w:val="18"/>
                <w:szCs w:val="18"/>
                <w:u w:val="none"/>
              </w:rPr>
            </w:pPr>
          </w:p>
        </w:tc>
        <w:tc>
          <w:tcPr>
            <w:tcW w:w="671" w:type="pct"/>
            <w:vMerge w:val="restart"/>
            <w:shd w:val="clear" w:color="auto" w:fill="auto"/>
            <w:noWrap/>
            <w:vAlign w:val="center"/>
          </w:tcPr>
          <w:p w14:paraId="2E80A969">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DRG编码质量</w:t>
            </w:r>
          </w:p>
        </w:tc>
        <w:tc>
          <w:tcPr>
            <w:tcW w:w="704" w:type="pct"/>
            <w:shd w:val="clear" w:color="auto" w:fill="auto"/>
            <w:noWrap/>
            <w:vAlign w:val="center"/>
          </w:tcPr>
          <w:p w14:paraId="562D6345">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DRG编码质量</w:t>
            </w:r>
          </w:p>
        </w:tc>
        <w:tc>
          <w:tcPr>
            <w:tcW w:w="2930" w:type="pct"/>
            <w:shd w:val="clear" w:color="auto" w:fill="auto"/>
            <w:noWrap/>
            <w:vAlign w:val="center"/>
          </w:tcPr>
          <w:p w14:paraId="2C1BC78D">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展示病案在卫健委数据不规范组的明细情况。</w:t>
            </w:r>
          </w:p>
        </w:tc>
      </w:tr>
      <w:tr w14:paraId="5205F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693" w:type="pct"/>
            <w:vMerge w:val="continue"/>
            <w:shd w:val="clear" w:color="auto" w:fill="auto"/>
            <w:noWrap/>
            <w:vAlign w:val="center"/>
          </w:tcPr>
          <w:p w14:paraId="6C74D99F">
            <w:pPr>
              <w:jc w:val="both"/>
              <w:rPr>
                <w:rFonts w:hint="eastAsia" w:ascii="仿宋_GB2312" w:hAnsi="宋体" w:eastAsia="仿宋_GB2312" w:cs="仿宋_GB2312"/>
                <w:i w:val="0"/>
                <w:iCs w:val="0"/>
                <w:color w:val="000000"/>
                <w:sz w:val="18"/>
                <w:szCs w:val="18"/>
                <w:u w:val="none"/>
              </w:rPr>
            </w:pPr>
          </w:p>
        </w:tc>
        <w:tc>
          <w:tcPr>
            <w:tcW w:w="671" w:type="pct"/>
            <w:vMerge w:val="continue"/>
            <w:shd w:val="clear" w:color="auto" w:fill="auto"/>
            <w:noWrap/>
            <w:vAlign w:val="center"/>
          </w:tcPr>
          <w:p w14:paraId="166683D5">
            <w:pPr>
              <w:jc w:val="both"/>
              <w:rPr>
                <w:rFonts w:hint="eastAsia" w:ascii="仿宋_GB2312" w:hAnsi="宋体" w:eastAsia="仿宋_GB2312" w:cs="仿宋_GB2312"/>
                <w:i w:val="0"/>
                <w:iCs w:val="0"/>
                <w:color w:val="000000"/>
                <w:sz w:val="18"/>
                <w:szCs w:val="18"/>
                <w:u w:val="none"/>
              </w:rPr>
            </w:pPr>
          </w:p>
        </w:tc>
        <w:tc>
          <w:tcPr>
            <w:tcW w:w="704" w:type="pct"/>
            <w:vMerge w:val="restart"/>
            <w:shd w:val="clear" w:color="auto" w:fill="auto"/>
            <w:noWrap/>
            <w:vAlign w:val="center"/>
          </w:tcPr>
          <w:p w14:paraId="4E66DCA9">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术种分析</w:t>
            </w:r>
          </w:p>
        </w:tc>
        <w:tc>
          <w:tcPr>
            <w:tcW w:w="2930" w:type="pct"/>
            <w:shd w:val="clear" w:color="auto" w:fill="auto"/>
            <w:noWrap/>
            <w:vAlign w:val="center"/>
          </w:tcPr>
          <w:p w14:paraId="5437BCF0">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按评审指标统计分析单病种的相关数据。包括术种住院天数，平均住院天数标杆值、均次费用、均次费用的标杆值</w:t>
            </w:r>
          </w:p>
        </w:tc>
      </w:tr>
      <w:tr w14:paraId="7BEE6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3" w:type="pct"/>
            <w:vMerge w:val="continue"/>
            <w:shd w:val="clear" w:color="auto" w:fill="auto"/>
            <w:noWrap/>
            <w:vAlign w:val="center"/>
          </w:tcPr>
          <w:p w14:paraId="12B28935">
            <w:pPr>
              <w:jc w:val="both"/>
              <w:rPr>
                <w:rFonts w:hint="eastAsia" w:ascii="仿宋_GB2312" w:hAnsi="宋体" w:eastAsia="仿宋_GB2312" w:cs="仿宋_GB2312"/>
                <w:i w:val="0"/>
                <w:iCs w:val="0"/>
                <w:color w:val="000000"/>
                <w:sz w:val="18"/>
                <w:szCs w:val="18"/>
                <w:u w:val="none"/>
              </w:rPr>
            </w:pPr>
          </w:p>
        </w:tc>
        <w:tc>
          <w:tcPr>
            <w:tcW w:w="671" w:type="pct"/>
            <w:vMerge w:val="continue"/>
            <w:shd w:val="clear" w:color="auto" w:fill="auto"/>
            <w:noWrap/>
            <w:vAlign w:val="center"/>
          </w:tcPr>
          <w:p w14:paraId="7118AC37">
            <w:pPr>
              <w:jc w:val="both"/>
              <w:rPr>
                <w:rFonts w:hint="eastAsia" w:ascii="仿宋_GB2312" w:hAnsi="宋体" w:eastAsia="仿宋_GB2312" w:cs="仿宋_GB2312"/>
                <w:i w:val="0"/>
                <w:iCs w:val="0"/>
                <w:color w:val="000000"/>
                <w:sz w:val="18"/>
                <w:szCs w:val="18"/>
                <w:u w:val="none"/>
              </w:rPr>
            </w:pPr>
          </w:p>
        </w:tc>
        <w:tc>
          <w:tcPr>
            <w:tcW w:w="704" w:type="pct"/>
            <w:vMerge w:val="continue"/>
            <w:shd w:val="clear" w:color="auto" w:fill="auto"/>
            <w:noWrap/>
            <w:vAlign w:val="center"/>
          </w:tcPr>
          <w:p w14:paraId="6458DF0A">
            <w:pPr>
              <w:jc w:val="both"/>
              <w:rPr>
                <w:rFonts w:hint="eastAsia" w:ascii="仿宋_GB2312" w:hAnsi="宋体" w:eastAsia="仿宋_GB2312" w:cs="仿宋_GB2312"/>
                <w:i w:val="0"/>
                <w:iCs w:val="0"/>
                <w:color w:val="000000"/>
                <w:sz w:val="18"/>
                <w:szCs w:val="18"/>
                <w:u w:val="none"/>
              </w:rPr>
            </w:pPr>
          </w:p>
        </w:tc>
        <w:tc>
          <w:tcPr>
            <w:tcW w:w="2930" w:type="pct"/>
            <w:shd w:val="clear" w:color="auto" w:fill="auto"/>
            <w:noWrap/>
            <w:vAlign w:val="center"/>
          </w:tcPr>
          <w:p w14:paraId="4D4A2C3D">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按评审指标统计分析每个科室单病种的相关数据，按照不同科室的诊疗差异进行分析。</w:t>
            </w:r>
          </w:p>
        </w:tc>
      </w:tr>
      <w:tr w14:paraId="63FB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3" w:type="pct"/>
            <w:vMerge w:val="continue"/>
            <w:shd w:val="clear" w:color="auto" w:fill="auto"/>
            <w:noWrap/>
            <w:vAlign w:val="center"/>
          </w:tcPr>
          <w:p w14:paraId="3CF9A918">
            <w:pPr>
              <w:jc w:val="both"/>
              <w:rPr>
                <w:rFonts w:hint="eastAsia" w:ascii="仿宋_GB2312" w:hAnsi="宋体" w:eastAsia="仿宋_GB2312" w:cs="仿宋_GB2312"/>
                <w:i w:val="0"/>
                <w:iCs w:val="0"/>
                <w:color w:val="000000"/>
                <w:sz w:val="18"/>
                <w:szCs w:val="18"/>
                <w:u w:val="none"/>
              </w:rPr>
            </w:pPr>
          </w:p>
        </w:tc>
        <w:tc>
          <w:tcPr>
            <w:tcW w:w="671" w:type="pct"/>
            <w:vMerge w:val="continue"/>
            <w:shd w:val="clear" w:color="auto" w:fill="auto"/>
            <w:noWrap/>
            <w:vAlign w:val="center"/>
          </w:tcPr>
          <w:p w14:paraId="3FD6347A">
            <w:pPr>
              <w:jc w:val="both"/>
              <w:rPr>
                <w:rFonts w:hint="eastAsia" w:ascii="仿宋_GB2312" w:hAnsi="宋体" w:eastAsia="仿宋_GB2312" w:cs="仿宋_GB2312"/>
                <w:i w:val="0"/>
                <w:iCs w:val="0"/>
                <w:color w:val="000000"/>
                <w:sz w:val="18"/>
                <w:szCs w:val="18"/>
                <w:u w:val="none"/>
              </w:rPr>
            </w:pPr>
          </w:p>
        </w:tc>
        <w:tc>
          <w:tcPr>
            <w:tcW w:w="704" w:type="pct"/>
            <w:vMerge w:val="continue"/>
            <w:shd w:val="clear" w:color="auto" w:fill="auto"/>
            <w:noWrap/>
            <w:vAlign w:val="center"/>
          </w:tcPr>
          <w:p w14:paraId="41016D8A">
            <w:pPr>
              <w:jc w:val="both"/>
              <w:rPr>
                <w:rFonts w:hint="eastAsia" w:ascii="仿宋_GB2312" w:hAnsi="宋体" w:eastAsia="仿宋_GB2312" w:cs="仿宋_GB2312"/>
                <w:i w:val="0"/>
                <w:iCs w:val="0"/>
                <w:color w:val="000000"/>
                <w:sz w:val="18"/>
                <w:szCs w:val="18"/>
                <w:u w:val="none"/>
              </w:rPr>
            </w:pPr>
          </w:p>
        </w:tc>
        <w:tc>
          <w:tcPr>
            <w:tcW w:w="2930" w:type="pct"/>
            <w:shd w:val="clear" w:color="auto" w:fill="auto"/>
            <w:noWrap/>
            <w:vAlign w:val="center"/>
          </w:tcPr>
          <w:p w14:paraId="69835885">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单病种的明细情况。</w:t>
            </w:r>
          </w:p>
        </w:tc>
      </w:tr>
      <w:tr w14:paraId="70149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3" w:type="pct"/>
            <w:vMerge w:val="continue"/>
            <w:shd w:val="clear" w:color="auto" w:fill="auto"/>
            <w:noWrap/>
            <w:vAlign w:val="center"/>
          </w:tcPr>
          <w:p w14:paraId="1BA0DCD9">
            <w:pPr>
              <w:jc w:val="both"/>
              <w:rPr>
                <w:rFonts w:hint="eastAsia" w:ascii="仿宋_GB2312" w:hAnsi="宋体" w:eastAsia="仿宋_GB2312" w:cs="仿宋_GB2312"/>
                <w:i w:val="0"/>
                <w:iCs w:val="0"/>
                <w:color w:val="000000"/>
                <w:sz w:val="18"/>
                <w:szCs w:val="18"/>
                <w:u w:val="none"/>
              </w:rPr>
            </w:pPr>
          </w:p>
        </w:tc>
        <w:tc>
          <w:tcPr>
            <w:tcW w:w="671" w:type="pct"/>
            <w:vMerge w:val="continue"/>
            <w:shd w:val="clear" w:color="auto" w:fill="auto"/>
            <w:noWrap/>
            <w:vAlign w:val="center"/>
          </w:tcPr>
          <w:p w14:paraId="076FD3DF">
            <w:pPr>
              <w:jc w:val="both"/>
              <w:rPr>
                <w:rFonts w:hint="eastAsia" w:ascii="仿宋_GB2312" w:hAnsi="宋体" w:eastAsia="仿宋_GB2312" w:cs="仿宋_GB2312"/>
                <w:i w:val="0"/>
                <w:iCs w:val="0"/>
                <w:color w:val="000000"/>
                <w:sz w:val="18"/>
                <w:szCs w:val="18"/>
                <w:u w:val="none"/>
              </w:rPr>
            </w:pPr>
          </w:p>
        </w:tc>
        <w:tc>
          <w:tcPr>
            <w:tcW w:w="704" w:type="pct"/>
            <w:shd w:val="clear" w:color="auto" w:fill="auto"/>
            <w:noWrap/>
            <w:vAlign w:val="center"/>
          </w:tcPr>
          <w:p w14:paraId="0C4E561E">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病种对比</w:t>
            </w:r>
          </w:p>
        </w:tc>
        <w:tc>
          <w:tcPr>
            <w:tcW w:w="2930" w:type="pct"/>
            <w:shd w:val="clear" w:color="auto" w:fill="auto"/>
            <w:noWrap/>
            <w:vAlign w:val="center"/>
          </w:tcPr>
          <w:p w14:paraId="3F748575">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按照科室（一级科室/二级科室）展示所选两个月份范围本院及对标医院病种指标（人次量、平均住院天数、均次总费用、平均药费、平均耗材费、平均服务费）数据和对比情况。</w:t>
            </w:r>
          </w:p>
        </w:tc>
      </w:tr>
      <w:tr w14:paraId="2C6E3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3" w:type="pct"/>
            <w:vMerge w:val="continue"/>
            <w:shd w:val="clear" w:color="auto" w:fill="auto"/>
            <w:noWrap/>
            <w:vAlign w:val="center"/>
          </w:tcPr>
          <w:p w14:paraId="6D392F69">
            <w:pPr>
              <w:jc w:val="both"/>
              <w:rPr>
                <w:rFonts w:hint="eastAsia" w:ascii="仿宋_GB2312" w:hAnsi="宋体" w:eastAsia="仿宋_GB2312" w:cs="仿宋_GB2312"/>
                <w:i w:val="0"/>
                <w:iCs w:val="0"/>
                <w:color w:val="000000"/>
                <w:sz w:val="18"/>
                <w:szCs w:val="18"/>
                <w:u w:val="none"/>
              </w:rPr>
            </w:pPr>
          </w:p>
        </w:tc>
        <w:tc>
          <w:tcPr>
            <w:tcW w:w="671" w:type="pct"/>
            <w:vMerge w:val="continue"/>
            <w:shd w:val="clear" w:color="auto" w:fill="auto"/>
            <w:noWrap/>
            <w:vAlign w:val="center"/>
          </w:tcPr>
          <w:p w14:paraId="049094BA">
            <w:pPr>
              <w:jc w:val="both"/>
              <w:rPr>
                <w:rFonts w:hint="eastAsia" w:ascii="仿宋_GB2312" w:hAnsi="宋体" w:eastAsia="仿宋_GB2312" w:cs="仿宋_GB2312"/>
                <w:i w:val="0"/>
                <w:iCs w:val="0"/>
                <w:color w:val="000000"/>
                <w:sz w:val="18"/>
                <w:szCs w:val="18"/>
                <w:u w:val="none"/>
              </w:rPr>
            </w:pPr>
          </w:p>
        </w:tc>
        <w:tc>
          <w:tcPr>
            <w:tcW w:w="704" w:type="pct"/>
            <w:shd w:val="clear" w:color="auto" w:fill="auto"/>
            <w:noWrap/>
            <w:vAlign w:val="center"/>
          </w:tcPr>
          <w:p w14:paraId="6FE3885A">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DRG对比</w:t>
            </w:r>
          </w:p>
        </w:tc>
        <w:tc>
          <w:tcPr>
            <w:tcW w:w="2930" w:type="pct"/>
            <w:shd w:val="clear" w:color="auto" w:fill="auto"/>
            <w:noWrap/>
            <w:vAlign w:val="center"/>
          </w:tcPr>
          <w:p w14:paraId="1D2E9F1D">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按照科室（一级科室/二级科室）展示所选两个月份范围本院及对标医院病种指标（优劣势、人次量、平均住院天数、均次总费用、平均药费、平均耗材费、平均服务费）数据和对比情况。</w:t>
            </w:r>
          </w:p>
        </w:tc>
      </w:tr>
      <w:tr w14:paraId="5440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5" w:hRule="atLeast"/>
          <w:jc w:val="center"/>
        </w:trPr>
        <w:tc>
          <w:tcPr>
            <w:tcW w:w="693" w:type="pct"/>
            <w:vMerge w:val="continue"/>
            <w:shd w:val="clear" w:color="auto" w:fill="auto"/>
            <w:noWrap/>
            <w:vAlign w:val="center"/>
          </w:tcPr>
          <w:p w14:paraId="35F9E05E">
            <w:pPr>
              <w:jc w:val="both"/>
              <w:rPr>
                <w:rFonts w:hint="eastAsia" w:ascii="仿宋_GB2312" w:hAnsi="宋体" w:eastAsia="仿宋_GB2312" w:cs="仿宋_GB2312"/>
                <w:i w:val="0"/>
                <w:iCs w:val="0"/>
                <w:color w:val="000000"/>
                <w:sz w:val="18"/>
                <w:szCs w:val="18"/>
                <w:u w:val="none"/>
              </w:rPr>
            </w:pPr>
          </w:p>
        </w:tc>
        <w:tc>
          <w:tcPr>
            <w:tcW w:w="671" w:type="pct"/>
            <w:vMerge w:val="continue"/>
            <w:shd w:val="clear" w:color="auto" w:fill="auto"/>
            <w:noWrap/>
            <w:vAlign w:val="center"/>
          </w:tcPr>
          <w:p w14:paraId="50C02711">
            <w:pPr>
              <w:jc w:val="both"/>
              <w:rPr>
                <w:rFonts w:hint="eastAsia" w:ascii="仿宋_GB2312" w:hAnsi="宋体" w:eastAsia="仿宋_GB2312" w:cs="仿宋_GB2312"/>
                <w:i w:val="0"/>
                <w:iCs w:val="0"/>
                <w:color w:val="000000"/>
                <w:sz w:val="18"/>
                <w:szCs w:val="18"/>
                <w:u w:val="none"/>
              </w:rPr>
            </w:pPr>
          </w:p>
        </w:tc>
        <w:tc>
          <w:tcPr>
            <w:tcW w:w="704" w:type="pct"/>
            <w:shd w:val="clear" w:color="auto" w:fill="auto"/>
            <w:noWrap/>
            <w:vAlign w:val="center"/>
          </w:tcPr>
          <w:p w14:paraId="5828FCE6">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科室对比</w:t>
            </w:r>
          </w:p>
        </w:tc>
        <w:tc>
          <w:tcPr>
            <w:tcW w:w="2930" w:type="pct"/>
            <w:shd w:val="clear" w:color="auto" w:fill="auto"/>
            <w:noWrap/>
            <w:vAlign w:val="center"/>
          </w:tcPr>
          <w:p w14:paraId="57193D69">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按照科室（一级科室/二级科室）展示所选两个月份范围工作量（出院人次量、DRG总量、CMI、CMI影响力、组数）、诊疗结构（各RW分段人次量）、成本效率（平均住院天数、均次总费用、平均药费、药占比、平均耗材费、耗占比、平均服务费、服务费占比）、疑难病例（疑难病例数、疑难病例数占比、疑难病例组数、平均住院天数、均次总费用、平均药费、药占比、平均耗材费、耗占比、平均服务费、服务费占比）指标数据和对比情况。</w:t>
            </w:r>
          </w:p>
        </w:tc>
      </w:tr>
      <w:tr w14:paraId="5983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5" w:hRule="atLeast"/>
          <w:jc w:val="center"/>
        </w:trPr>
        <w:tc>
          <w:tcPr>
            <w:tcW w:w="693" w:type="pct"/>
            <w:vMerge w:val="continue"/>
            <w:shd w:val="clear" w:color="auto" w:fill="auto"/>
            <w:noWrap/>
            <w:vAlign w:val="center"/>
          </w:tcPr>
          <w:p w14:paraId="13637ED3">
            <w:pPr>
              <w:jc w:val="both"/>
              <w:rPr>
                <w:rFonts w:hint="eastAsia" w:ascii="仿宋_GB2312" w:hAnsi="宋体" w:eastAsia="仿宋_GB2312" w:cs="仿宋_GB2312"/>
                <w:i w:val="0"/>
                <w:iCs w:val="0"/>
                <w:color w:val="000000"/>
                <w:sz w:val="18"/>
                <w:szCs w:val="18"/>
                <w:u w:val="none"/>
              </w:rPr>
            </w:pPr>
          </w:p>
        </w:tc>
        <w:tc>
          <w:tcPr>
            <w:tcW w:w="671" w:type="pct"/>
            <w:vMerge w:val="continue"/>
            <w:shd w:val="clear" w:color="auto" w:fill="auto"/>
            <w:noWrap/>
            <w:vAlign w:val="center"/>
          </w:tcPr>
          <w:p w14:paraId="577AEB03">
            <w:pPr>
              <w:jc w:val="both"/>
              <w:rPr>
                <w:rFonts w:hint="eastAsia" w:ascii="仿宋_GB2312" w:hAnsi="宋体" w:eastAsia="仿宋_GB2312" w:cs="仿宋_GB2312"/>
                <w:i w:val="0"/>
                <w:iCs w:val="0"/>
                <w:color w:val="000000"/>
                <w:sz w:val="18"/>
                <w:szCs w:val="18"/>
                <w:u w:val="none"/>
              </w:rPr>
            </w:pPr>
          </w:p>
        </w:tc>
        <w:tc>
          <w:tcPr>
            <w:tcW w:w="704" w:type="pct"/>
            <w:shd w:val="clear" w:color="auto" w:fill="auto"/>
            <w:noWrap/>
            <w:vAlign w:val="center"/>
          </w:tcPr>
          <w:p w14:paraId="49222EEF">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医生对比</w:t>
            </w:r>
          </w:p>
        </w:tc>
        <w:tc>
          <w:tcPr>
            <w:tcW w:w="2930" w:type="pct"/>
            <w:shd w:val="clear" w:color="auto" w:fill="auto"/>
            <w:noWrap/>
            <w:vAlign w:val="center"/>
          </w:tcPr>
          <w:p w14:paraId="1A8F49DC">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按照医生（科主任/主任医师/主治医师/住院医师）展示所选两个月份范围工作量（出院人次量、DRG总量、CMI、CMI影响力、组数）、诊疗结构（各RW分段人次量）、成本效率（平均住院天数、均次总费用、平均药费、药占比、平均耗材费、耗占比、平均服务费、服务费占比）、疑难病例（疑难病例数、疑难病例数占比、疑难病例组数、平均住院天数、均次总费用、平均药费、药占比、平均耗材费、耗占比、平均服务费、服务费占比）指标数据和对比情况。</w:t>
            </w:r>
          </w:p>
        </w:tc>
      </w:tr>
      <w:tr w14:paraId="32258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93" w:type="pct"/>
            <w:shd w:val="clear" w:color="auto" w:fill="auto"/>
            <w:noWrap/>
            <w:vAlign w:val="center"/>
          </w:tcPr>
          <w:p w14:paraId="018325A4">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预入组提醒功能</w:t>
            </w:r>
          </w:p>
        </w:tc>
        <w:tc>
          <w:tcPr>
            <w:tcW w:w="671" w:type="pct"/>
            <w:shd w:val="clear" w:color="auto" w:fill="auto"/>
            <w:noWrap/>
            <w:vAlign w:val="center"/>
          </w:tcPr>
          <w:p w14:paraId="4A7AE251">
            <w:pPr>
              <w:jc w:val="both"/>
              <w:rPr>
                <w:rFonts w:hint="eastAsia" w:ascii="仿宋_GB2312" w:hAnsi="宋体" w:eastAsia="仿宋_GB2312" w:cs="仿宋_GB2312"/>
                <w:i w:val="0"/>
                <w:iCs w:val="0"/>
                <w:color w:val="000000"/>
                <w:sz w:val="18"/>
                <w:szCs w:val="18"/>
                <w:u w:val="none"/>
              </w:rPr>
            </w:pPr>
          </w:p>
        </w:tc>
        <w:tc>
          <w:tcPr>
            <w:tcW w:w="704" w:type="pct"/>
            <w:shd w:val="clear" w:color="auto" w:fill="auto"/>
            <w:noWrap/>
            <w:vAlign w:val="center"/>
          </w:tcPr>
          <w:p w14:paraId="0DC01476">
            <w:pPr>
              <w:jc w:val="both"/>
              <w:rPr>
                <w:rFonts w:hint="eastAsia" w:ascii="仿宋_GB2312" w:hAnsi="宋体" w:eastAsia="仿宋_GB2312" w:cs="仿宋_GB2312"/>
                <w:i w:val="0"/>
                <w:iCs w:val="0"/>
                <w:color w:val="000000"/>
                <w:sz w:val="18"/>
                <w:szCs w:val="18"/>
                <w:u w:val="none"/>
              </w:rPr>
            </w:pPr>
          </w:p>
        </w:tc>
        <w:tc>
          <w:tcPr>
            <w:tcW w:w="2930" w:type="pct"/>
            <w:shd w:val="clear" w:color="auto" w:fill="auto"/>
            <w:noWrap/>
            <w:vAlign w:val="center"/>
          </w:tcPr>
          <w:p w14:paraId="4CFB2479">
            <w:pPr>
              <w:keepNext w:val="0"/>
              <w:keepLines w:val="0"/>
              <w:widowControl/>
              <w:suppressLineNumbers w:val="0"/>
              <w:jc w:val="both"/>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根据病案信息进行预入组，显示drg组名称和权重信息。      根据诊断与操作自动预测最高RW权重。</w:t>
            </w:r>
          </w:p>
        </w:tc>
      </w:tr>
      <w:tr w14:paraId="21794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93" w:type="pct"/>
            <w:shd w:val="clear" w:color="auto" w:fill="auto"/>
            <w:noWrap/>
            <w:vAlign w:val="center"/>
          </w:tcPr>
          <w:p w14:paraId="27381BCA">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预警功能</w:t>
            </w:r>
          </w:p>
        </w:tc>
        <w:tc>
          <w:tcPr>
            <w:tcW w:w="671" w:type="pct"/>
            <w:shd w:val="clear" w:color="auto" w:fill="auto"/>
            <w:noWrap/>
            <w:vAlign w:val="center"/>
          </w:tcPr>
          <w:p w14:paraId="3DCDD6FE">
            <w:pPr>
              <w:jc w:val="both"/>
              <w:rPr>
                <w:rFonts w:hint="eastAsia" w:ascii="仿宋_GB2312" w:hAnsi="宋体" w:eastAsia="仿宋_GB2312" w:cs="仿宋_GB2312"/>
                <w:i w:val="0"/>
                <w:iCs w:val="0"/>
                <w:color w:val="000000"/>
                <w:sz w:val="18"/>
                <w:szCs w:val="18"/>
                <w:u w:val="none"/>
              </w:rPr>
            </w:pPr>
          </w:p>
        </w:tc>
        <w:tc>
          <w:tcPr>
            <w:tcW w:w="704" w:type="pct"/>
            <w:shd w:val="clear" w:color="auto" w:fill="auto"/>
            <w:noWrap/>
            <w:vAlign w:val="center"/>
          </w:tcPr>
          <w:p w14:paraId="4F42F4D1">
            <w:pPr>
              <w:jc w:val="both"/>
              <w:rPr>
                <w:rFonts w:hint="eastAsia" w:ascii="仿宋_GB2312" w:hAnsi="宋体" w:eastAsia="仿宋_GB2312" w:cs="仿宋_GB2312"/>
                <w:i w:val="0"/>
                <w:iCs w:val="0"/>
                <w:color w:val="000000"/>
                <w:sz w:val="18"/>
                <w:szCs w:val="18"/>
                <w:u w:val="none"/>
              </w:rPr>
            </w:pPr>
          </w:p>
        </w:tc>
        <w:tc>
          <w:tcPr>
            <w:tcW w:w="2930" w:type="pct"/>
            <w:shd w:val="clear" w:color="auto" w:fill="auto"/>
            <w:noWrap/>
            <w:vAlign w:val="center"/>
          </w:tcPr>
          <w:p w14:paraId="519525A5">
            <w:pPr>
              <w:keepNext w:val="0"/>
              <w:keepLines w:val="0"/>
              <w:widowControl/>
              <w:suppressLineNumbers w:val="0"/>
              <w:jc w:val="both"/>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比如低风险死亡，并发症等预警</w:t>
            </w:r>
          </w:p>
        </w:tc>
      </w:tr>
    </w:tbl>
    <w:p w14:paraId="0509DC94">
      <w:pPr>
        <w:rPr>
          <w:rFonts w:hint="eastAsia" w:ascii="仿宋_GB2312" w:hAnsi="仿宋_GB2312" w:eastAsia="仿宋_GB2312" w:cs="仿宋_GB2312"/>
          <w:sz w:val="32"/>
          <w:szCs w:val="32"/>
        </w:rPr>
      </w:pPr>
    </w:p>
    <w:p w14:paraId="48EB1862">
      <w:pPr>
        <w:pStyle w:val="17"/>
        <w:pageBreakBefore w:val="0"/>
        <w:numPr>
          <w:ilvl w:val="0"/>
          <w:numId w:val="0"/>
        </w:numPr>
        <w:kinsoku/>
        <w:wordWrap/>
        <w:overflowPunct/>
        <w:topLinePunct w:val="0"/>
        <w:autoSpaceDE/>
        <w:autoSpaceDN/>
        <w:bidi w:val="0"/>
        <w:adjustRightInd/>
        <w:snapToGrid/>
        <w:ind w:firstLine="480" w:firstLineChars="200"/>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504020202020204"/>
    <w:charset w:val="00"/>
    <w:family w:val="swiss"/>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KaiTi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FangSong_GB2312">
    <w:altName w:val="仿宋_GB2312"/>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58676"/>
    <w:multiLevelType w:val="singleLevel"/>
    <w:tmpl w:val="8B858676"/>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hOGIyYzRmM2UxZmNkODZkMDJkYjFlMjYyODA1YTcifQ=="/>
  </w:docVars>
  <w:rsids>
    <w:rsidRoot w:val="24D2209E"/>
    <w:rsid w:val="00494ACE"/>
    <w:rsid w:val="007B265A"/>
    <w:rsid w:val="00A55D11"/>
    <w:rsid w:val="00DA5D87"/>
    <w:rsid w:val="038141F9"/>
    <w:rsid w:val="05C83698"/>
    <w:rsid w:val="0BB574E9"/>
    <w:rsid w:val="0DF72211"/>
    <w:rsid w:val="0F227162"/>
    <w:rsid w:val="0FF705D0"/>
    <w:rsid w:val="10A62A18"/>
    <w:rsid w:val="16373051"/>
    <w:rsid w:val="165E7E7E"/>
    <w:rsid w:val="18567E5D"/>
    <w:rsid w:val="1A120022"/>
    <w:rsid w:val="1AE22727"/>
    <w:rsid w:val="1C042A1F"/>
    <w:rsid w:val="1C915908"/>
    <w:rsid w:val="20784C33"/>
    <w:rsid w:val="222F59A7"/>
    <w:rsid w:val="24D2209E"/>
    <w:rsid w:val="25D93179"/>
    <w:rsid w:val="26AF70B6"/>
    <w:rsid w:val="26B72AA4"/>
    <w:rsid w:val="2B202C91"/>
    <w:rsid w:val="2D684463"/>
    <w:rsid w:val="2D7D23EE"/>
    <w:rsid w:val="2DF60F5E"/>
    <w:rsid w:val="2F257DA7"/>
    <w:rsid w:val="2F80457E"/>
    <w:rsid w:val="309774C6"/>
    <w:rsid w:val="32DF2AD1"/>
    <w:rsid w:val="349E5471"/>
    <w:rsid w:val="38D526E1"/>
    <w:rsid w:val="394B75AF"/>
    <w:rsid w:val="3C2B5111"/>
    <w:rsid w:val="3DA7680A"/>
    <w:rsid w:val="3EBB4364"/>
    <w:rsid w:val="424F55A4"/>
    <w:rsid w:val="461E3079"/>
    <w:rsid w:val="46A139FD"/>
    <w:rsid w:val="481007AD"/>
    <w:rsid w:val="49E17296"/>
    <w:rsid w:val="4AC86916"/>
    <w:rsid w:val="4D6756DE"/>
    <w:rsid w:val="4D8E366A"/>
    <w:rsid w:val="4E8C54B1"/>
    <w:rsid w:val="4EC10F8B"/>
    <w:rsid w:val="4EDA651C"/>
    <w:rsid w:val="4FDE15A9"/>
    <w:rsid w:val="503C735D"/>
    <w:rsid w:val="50D31676"/>
    <w:rsid w:val="51051655"/>
    <w:rsid w:val="51277097"/>
    <w:rsid w:val="51983E64"/>
    <w:rsid w:val="52816664"/>
    <w:rsid w:val="52A05BEE"/>
    <w:rsid w:val="52A13E2E"/>
    <w:rsid w:val="54D97240"/>
    <w:rsid w:val="59D83304"/>
    <w:rsid w:val="5BE56AFB"/>
    <w:rsid w:val="5FEB0458"/>
    <w:rsid w:val="60F65306"/>
    <w:rsid w:val="63B25E95"/>
    <w:rsid w:val="6523006D"/>
    <w:rsid w:val="657A75C8"/>
    <w:rsid w:val="6604073B"/>
    <w:rsid w:val="66102866"/>
    <w:rsid w:val="66D31996"/>
    <w:rsid w:val="688F3EA6"/>
    <w:rsid w:val="69605A13"/>
    <w:rsid w:val="69887333"/>
    <w:rsid w:val="6A454942"/>
    <w:rsid w:val="6B3A2A32"/>
    <w:rsid w:val="6B6A0DCB"/>
    <w:rsid w:val="6CFB554B"/>
    <w:rsid w:val="6DD4443F"/>
    <w:rsid w:val="6F5349A1"/>
    <w:rsid w:val="70DF1913"/>
    <w:rsid w:val="719F1EF7"/>
    <w:rsid w:val="72212F9D"/>
    <w:rsid w:val="73075151"/>
    <w:rsid w:val="74346ABD"/>
    <w:rsid w:val="75A27EE8"/>
    <w:rsid w:val="782E6441"/>
    <w:rsid w:val="7BB3231A"/>
    <w:rsid w:val="7BC07DBF"/>
    <w:rsid w:val="7D3B1B2A"/>
    <w:rsid w:val="7F2006B1"/>
    <w:rsid w:val="7F6E0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link w:val="33"/>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5">
    <w:name w:val="heading 4"/>
    <w:basedOn w:val="1"/>
    <w:next w:val="1"/>
    <w:autoRedefine/>
    <w:qFormat/>
    <w:uiPriority w:val="0"/>
    <w:pPr>
      <w:keepNext/>
      <w:keepLines/>
      <w:spacing w:before="120" w:after="120" w:line="360" w:lineRule="auto"/>
      <w:outlineLvl w:val="3"/>
    </w:pPr>
    <w:rPr>
      <w:rFonts w:ascii="Arial" w:hAnsi="Arial" w:eastAsia="宋体" w:cs="Times New Roman"/>
      <w:b/>
      <w:bCs/>
      <w:sz w:val="28"/>
      <w:szCs w:val="28"/>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autoRedefine/>
    <w:qFormat/>
    <w:uiPriority w:val="0"/>
    <w:pPr>
      <w:spacing w:before="240" w:after="60"/>
      <w:jc w:val="center"/>
      <w:outlineLvl w:val="0"/>
    </w:pPr>
    <w:rPr>
      <w:rFonts w:ascii="Arial" w:hAnsi="Arial" w:cs="Times New Roman"/>
      <w:b/>
      <w:sz w:val="32"/>
    </w:rPr>
  </w:style>
  <w:style w:type="paragraph" w:styleId="6">
    <w:name w:val="table of authorities"/>
    <w:next w:val="1"/>
    <w:autoRedefine/>
    <w:qFormat/>
    <w:uiPriority w:val="0"/>
    <w:pPr>
      <w:widowControl w:val="0"/>
      <w:ind w:left="420" w:leftChars="200"/>
      <w:jc w:val="both"/>
    </w:pPr>
    <w:rPr>
      <w:rFonts w:ascii="Times New Roman" w:hAnsi="Times New Roman" w:eastAsia="宋体" w:cs="Times New Roman"/>
      <w:kern w:val="2"/>
      <w:sz w:val="21"/>
      <w:lang w:val="en-US" w:eastAsia="zh-CN" w:bidi="ar-SA"/>
    </w:rPr>
  </w:style>
  <w:style w:type="paragraph" w:styleId="7">
    <w:name w:val="Normal Indent"/>
    <w:basedOn w:val="1"/>
    <w:qFormat/>
    <w:uiPriority w:val="0"/>
    <w:pPr>
      <w:ind w:firstLine="420"/>
    </w:pPr>
  </w:style>
  <w:style w:type="paragraph" w:styleId="8">
    <w:name w:val="Body Text"/>
    <w:basedOn w:val="1"/>
    <w:autoRedefine/>
    <w:qFormat/>
    <w:uiPriority w:val="99"/>
    <w:pPr>
      <w:spacing w:before="0" w:beforeLines="0" w:after="0" w:afterLines="0" w:line="240" w:lineRule="auto"/>
      <w:ind w:firstLine="0" w:firstLineChars="0"/>
    </w:pPr>
    <w:rPr>
      <w:rFonts w:ascii="Helvetica" w:hAnsi="Helvetica" w:eastAsia="黑体" w:cs="Times New Roman"/>
      <w:i/>
      <w:iCs/>
      <w:sz w:val="21"/>
      <w:szCs w:val="20"/>
    </w:rPr>
  </w:style>
  <w:style w:type="paragraph" w:styleId="9">
    <w:name w:val="Body Text Indent"/>
    <w:basedOn w:val="1"/>
    <w:autoRedefine/>
    <w:qFormat/>
    <w:uiPriority w:val="0"/>
    <w:pPr>
      <w:spacing w:after="120" w:afterLines="0"/>
      <w:ind w:left="420" w:leftChars="200"/>
    </w:pPr>
  </w:style>
  <w:style w:type="paragraph" w:styleId="10">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11">
    <w:name w:val="footer"/>
    <w:basedOn w:val="1"/>
    <w:link w:val="24"/>
    <w:autoRedefine/>
    <w:qFormat/>
    <w:uiPriority w:val="0"/>
    <w:pPr>
      <w:tabs>
        <w:tab w:val="center" w:pos="4513"/>
        <w:tab w:val="right" w:pos="9026"/>
      </w:tabs>
      <w:snapToGrid w:val="0"/>
      <w:jc w:val="left"/>
    </w:pPr>
    <w:rPr>
      <w:sz w:val="18"/>
      <w:szCs w:val="18"/>
    </w:rPr>
  </w:style>
  <w:style w:type="paragraph" w:styleId="12">
    <w:name w:val="header"/>
    <w:basedOn w:val="1"/>
    <w:link w:val="23"/>
    <w:autoRedefine/>
    <w:qFormat/>
    <w:uiPriority w:val="0"/>
    <w:pPr>
      <w:tabs>
        <w:tab w:val="center" w:pos="4513"/>
        <w:tab w:val="right" w:pos="9026"/>
      </w:tabs>
      <w:snapToGrid w:val="0"/>
      <w:jc w:val="center"/>
    </w:pPr>
    <w:rPr>
      <w:sz w:val="18"/>
      <w:szCs w:val="18"/>
    </w:rPr>
  </w:style>
  <w:style w:type="paragraph" w:styleId="13">
    <w:name w:val="Normal (Web)"/>
    <w:basedOn w:val="1"/>
    <w:autoRedefine/>
    <w:qFormat/>
    <w:uiPriority w:val="99"/>
    <w:pPr>
      <w:widowControl/>
      <w:spacing w:before="100" w:beforeAutospacing="1" w:after="100" w:afterAutospacing="1"/>
      <w:jc w:val="left"/>
    </w:pPr>
    <w:rPr>
      <w:rFonts w:ascii="宋体" w:hAnsi="宋体" w:cs="宋体"/>
      <w:color w:val="000000"/>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正文1"/>
    <w:qFormat/>
    <w:uiPriority w:val="0"/>
    <w:pPr>
      <w:keepNext/>
      <w:keepLines/>
      <w:spacing w:beforeLines="50" w:afterLines="50" w:line="360" w:lineRule="exact"/>
      <w:ind w:firstLine="200" w:firstLineChars="200"/>
    </w:pPr>
    <w:rPr>
      <w:rFonts w:ascii="仿宋_GB2312" w:hAnsi="宋体" w:eastAsia="仿宋_GB2312" w:cs="Times New Roman"/>
      <w:color w:val="000000"/>
      <w:sz w:val="24"/>
      <w:szCs w:val="30"/>
      <w:lang w:val="en-GB" w:eastAsia="zh-CN" w:bidi="ar-SA"/>
    </w:rPr>
  </w:style>
  <w:style w:type="paragraph" w:customStyle="1" w:styleId="18">
    <w:name w:val="1"/>
    <w:basedOn w:val="1"/>
    <w:next w:val="9"/>
    <w:autoRedefine/>
    <w:qFormat/>
    <w:uiPriority w:val="0"/>
    <w:pPr>
      <w:widowControl w:val="0"/>
      <w:jc w:val="both"/>
    </w:pPr>
    <w:rPr>
      <w:rFonts w:ascii="宋体" w:hAnsi="Courier New"/>
      <w:kern w:val="2"/>
    </w:rPr>
  </w:style>
  <w:style w:type="paragraph" w:customStyle="1" w:styleId="19">
    <w:name w:val="font5"/>
    <w:basedOn w:val="1"/>
    <w:autoRedefine/>
    <w:qFormat/>
    <w:uiPriority w:val="0"/>
    <w:pPr>
      <w:spacing w:before="100" w:beforeLines="0" w:beforeAutospacing="1" w:after="100" w:afterLines="0" w:afterAutospacing="1"/>
    </w:pPr>
    <w:rPr>
      <w:rFonts w:ascii="宋体" w:hAnsi="宋体" w:cs="宋体"/>
      <w:sz w:val="18"/>
      <w:szCs w:val="18"/>
    </w:rPr>
  </w:style>
  <w:style w:type="paragraph" w:customStyle="1" w:styleId="20">
    <w:name w:val="表格文字"/>
    <w:basedOn w:val="1"/>
    <w:autoRedefine/>
    <w:qFormat/>
    <w:uiPriority w:val="0"/>
    <w:pPr>
      <w:spacing w:before="25" w:after="25"/>
    </w:pPr>
    <w:rPr>
      <w:bCs/>
      <w:spacing w:val="10"/>
      <w:kern w:val="0"/>
    </w:rPr>
  </w:style>
  <w:style w:type="paragraph" w:customStyle="1" w:styleId="21">
    <w:name w:val="Default"/>
    <w:autoRedefine/>
    <w:qFormat/>
    <w:uiPriority w:val="0"/>
    <w:pPr>
      <w:autoSpaceDE w:val="0"/>
      <w:autoSpaceDN w:val="0"/>
      <w:adjustRightInd w:val="0"/>
    </w:pPr>
    <w:rPr>
      <w:rFonts w:ascii="Calibri" w:hAnsi="Calibri" w:eastAsia="宋体" w:cs="Calibri"/>
      <w:color w:val="000000"/>
      <w:sz w:val="24"/>
      <w:szCs w:val="24"/>
      <w:lang w:val="en-US" w:eastAsia="zh-CN" w:bidi="ar-SA"/>
    </w:rPr>
  </w:style>
  <w:style w:type="paragraph" w:styleId="22">
    <w:name w:val="No Spacing"/>
    <w:autoRedefine/>
    <w:qFormat/>
    <w:uiPriority w:val="1"/>
    <w:rPr>
      <w:rFonts w:ascii="Calibri" w:hAnsi="Calibri" w:eastAsia="宋体" w:cs="Times New Roman"/>
      <w:sz w:val="22"/>
      <w:szCs w:val="22"/>
      <w:lang w:val="en-US" w:eastAsia="zh-CN" w:bidi="ar-SA"/>
    </w:rPr>
  </w:style>
  <w:style w:type="character" w:customStyle="1" w:styleId="23">
    <w:name w:val="页眉 字符"/>
    <w:basedOn w:val="16"/>
    <w:link w:val="12"/>
    <w:autoRedefine/>
    <w:qFormat/>
    <w:uiPriority w:val="0"/>
    <w:rPr>
      <w:rFonts w:ascii="Calibri" w:hAnsi="Calibri" w:eastAsia="宋体" w:cs="Times New Roman"/>
      <w:kern w:val="2"/>
      <w:sz w:val="18"/>
      <w:szCs w:val="18"/>
    </w:rPr>
  </w:style>
  <w:style w:type="character" w:customStyle="1" w:styleId="24">
    <w:name w:val="页脚 字符"/>
    <w:basedOn w:val="16"/>
    <w:link w:val="11"/>
    <w:autoRedefine/>
    <w:qFormat/>
    <w:uiPriority w:val="0"/>
    <w:rPr>
      <w:rFonts w:ascii="Calibri" w:hAnsi="Calibri" w:eastAsia="宋体" w:cs="Times New Roman"/>
      <w:kern w:val="2"/>
      <w:sz w:val="18"/>
      <w:szCs w:val="18"/>
    </w:rPr>
  </w:style>
  <w:style w:type="paragraph" w:customStyle="1" w:styleId="25">
    <w:name w:val="Body text|1"/>
    <w:basedOn w:val="1"/>
    <w:autoRedefine/>
    <w:qFormat/>
    <w:uiPriority w:val="0"/>
    <w:pPr>
      <w:widowControl w:val="0"/>
      <w:shd w:val="clear" w:color="auto" w:fill="auto"/>
      <w:spacing w:after="380"/>
      <w:jc w:val="center"/>
    </w:pPr>
    <w:rPr>
      <w:rFonts w:ascii="宋体" w:hAnsi="宋体" w:eastAsia="宋体" w:cs="宋体"/>
      <w:color w:val="64676B"/>
      <w:sz w:val="30"/>
      <w:szCs w:val="30"/>
      <w:u w:val="none"/>
      <w:shd w:val="clear" w:color="auto" w:fill="auto"/>
      <w:lang w:val="zh-TW" w:eastAsia="zh-TW" w:bidi="zh-TW"/>
    </w:rPr>
  </w:style>
  <w:style w:type="paragraph" w:customStyle="1" w:styleId="26">
    <w:name w:val="Other|1"/>
    <w:basedOn w:val="1"/>
    <w:autoRedefine/>
    <w:qFormat/>
    <w:uiPriority w:val="0"/>
    <w:pPr>
      <w:widowControl w:val="0"/>
      <w:shd w:val="clear" w:color="auto" w:fill="auto"/>
    </w:pPr>
    <w:rPr>
      <w:rFonts w:ascii="宋体" w:hAnsi="宋体" w:eastAsia="宋体" w:cs="宋体"/>
      <w:color w:val="7D7E84"/>
      <w:sz w:val="20"/>
      <w:szCs w:val="20"/>
      <w:u w:val="none"/>
      <w:shd w:val="clear" w:color="auto" w:fill="auto"/>
      <w:lang w:val="zh-TW" w:eastAsia="zh-TW" w:bidi="zh-TW"/>
    </w:rPr>
  </w:style>
  <w:style w:type="paragraph" w:styleId="27">
    <w:name w:val="List Paragraph"/>
    <w:basedOn w:val="1"/>
    <w:autoRedefine/>
    <w:qFormat/>
    <w:uiPriority w:val="34"/>
    <w:pPr>
      <w:ind w:firstLine="420" w:firstLineChars="200"/>
    </w:pPr>
  </w:style>
  <w:style w:type="paragraph" w:customStyle="1" w:styleId="28">
    <w:name w:val="null3"/>
    <w:autoRedefine/>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29">
    <w:name w:val="正文_0"/>
    <w:autoRedefine/>
    <w:qFormat/>
    <w:uiPriority w:val="0"/>
    <w:pPr>
      <w:widowControl w:val="0"/>
      <w:jc w:val="both"/>
    </w:pPr>
    <w:rPr>
      <w:rFonts w:ascii="Times New Roman" w:hAnsi="Times New Roman" w:eastAsia="微软雅黑" w:cs="Times New Roman"/>
      <w:kern w:val="2"/>
      <w:sz w:val="21"/>
      <w:lang w:val="en-US" w:eastAsia="zh-CN" w:bidi="ar-SA"/>
    </w:rPr>
  </w:style>
  <w:style w:type="paragraph" w:customStyle="1" w:styleId="30">
    <w:name w:val="Plain Text"/>
    <w:basedOn w:val="1"/>
    <w:qFormat/>
    <w:uiPriority w:val="0"/>
    <w:rPr>
      <w:rFonts w:ascii="宋体" w:hAnsi="Courier New"/>
      <w:sz w:val="24"/>
      <w:szCs w:val="20"/>
    </w:rPr>
  </w:style>
  <w:style w:type="paragraph" w:customStyle="1" w:styleId="31">
    <w:name w:val="Date"/>
    <w:basedOn w:val="1"/>
    <w:next w:val="1"/>
    <w:qFormat/>
    <w:uiPriority w:val="0"/>
    <w:rPr>
      <w:rFonts w:ascii="Arial" w:hAnsi="Arial" w:eastAsia="KaiTi_GB2312"/>
      <w:sz w:val="28"/>
      <w:szCs w:val="20"/>
    </w:rPr>
  </w:style>
  <w:style w:type="paragraph" w:customStyle="1" w:styleId="32">
    <w:name w:val="列出段落1"/>
    <w:basedOn w:val="1"/>
    <w:qFormat/>
    <w:uiPriority w:val="34"/>
    <w:pPr>
      <w:ind w:firstLine="420" w:firstLineChars="200"/>
      <w:jc w:val="left"/>
    </w:pPr>
    <w:rPr>
      <w:rFonts w:ascii="Courier New" w:hAnsi="Courier New"/>
      <w:snapToGrid w:val="0"/>
      <w:kern w:val="0"/>
      <w:sz w:val="24"/>
      <w:szCs w:val="20"/>
      <w:lang w:eastAsia="en-US"/>
    </w:rPr>
  </w:style>
  <w:style w:type="character" w:customStyle="1" w:styleId="33">
    <w:name w:val="标题 2 Char"/>
    <w:basedOn w:val="16"/>
    <w:link w:val="4"/>
    <w:autoRedefine/>
    <w:qFormat/>
    <w:uiPriority w:val="9"/>
    <w:rPr>
      <w:rFonts w:ascii="Arial" w:hAnsi="Arial" w:eastAsia="黑体"/>
      <w:b/>
      <w:bCs/>
      <w:sz w:val="32"/>
      <w:szCs w:val="32"/>
    </w:rPr>
  </w:style>
  <w:style w:type="paragraph" w:customStyle="1" w:styleId="34">
    <w:name w:val="一级标题"/>
    <w:basedOn w:val="1"/>
    <w:autoRedefine/>
    <w:qFormat/>
    <w:uiPriority w:val="0"/>
    <w:pPr>
      <w:spacing w:line="560" w:lineRule="exact"/>
      <w:ind w:firstLine="420" w:firstLineChars="200"/>
    </w:pPr>
    <w:rPr>
      <w:rFonts w:ascii="黑体" w:hAnsi="黑体" w:eastAsia="黑体" w:cs="黑体"/>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850</Words>
  <Characters>903</Characters>
  <Lines>8</Lines>
  <Paragraphs>2</Paragraphs>
  <TotalTime>1</TotalTime>
  <ScaleCrop>false</ScaleCrop>
  <LinksUpToDate>false</LinksUpToDate>
  <CharactersWithSpaces>981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2023-07-10T10:50:00Z</dcterms:created>
  <dc:creator>农人</dc:creator>
  <cp:lastModifiedBy>农人</cp:lastModifiedBy>
  <dcterms:modified xsi:type="dcterms:W3CDTF">2025-07-29T07:12:51Z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1724EC41384E4AFF8EB124F17A1B270A_13</vt:lpwstr>
  </property>
  <property fmtid="{D5CDD505-2E9C-101B-9397-08002B2CF9AE}" pid="4" name="KSOTemplateDocerSaveRecord">
    <vt:lpwstr>eyJoZGlkIjoiZTYyMDczZGRhZjNiZjg5MTJhMWY4ZmJkZjE0ODlhZjQiLCJ1c2VySWQiOiIyNzE2NTk1MjcifQ==</vt:lpwstr>
  </property>
</Properties>
</file>