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spacing w:line="360" w:lineRule="auto"/>
              <w:ind w:firstLine="480" w:firstLineChars="200"/>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项目名称：</w:t>
            </w:r>
            <w:r>
              <w:rPr>
                <w:rFonts w:hint="eastAsia" w:ascii="FangSong_GB2312" w:hAnsi="FangSong_GB2312" w:eastAsia="FangSong_GB2312" w:cs="FangSong_GB2312"/>
                <w:color w:val="000000"/>
                <w:kern w:val="0"/>
                <w:sz w:val="24"/>
                <w:lang w:val="en-US" w:eastAsia="zh-CN" w:bidi="ar"/>
              </w:rPr>
              <w:t>贵州航天医院</w:t>
            </w:r>
            <w:r>
              <w:rPr>
                <w:rFonts w:hint="eastAsia" w:ascii="FangSong_GB2312" w:hAnsi="FangSong_GB2312" w:eastAsia="FangSong_GB2312" w:cs="FangSong_GB2312"/>
                <w:color w:val="000000"/>
                <w:kern w:val="0"/>
                <w:sz w:val="24"/>
                <w:lang w:bidi="ar"/>
              </w:rPr>
              <w:t>胃镜室扩建改造</w:t>
            </w:r>
            <w:r>
              <w:rPr>
                <w:rFonts w:hint="eastAsia" w:ascii="FangSong_GB2312" w:hAnsi="FangSong_GB2312" w:eastAsia="FangSong_GB2312" w:cs="FangSong_GB2312"/>
                <w:color w:val="000000"/>
                <w:kern w:val="0"/>
                <w:sz w:val="24"/>
                <w:lang w:val="en-US" w:eastAsia="zh-CN"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59.70万元</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59.70万元</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widowControl/>
              <w:ind w:firstLine="480" w:firstLineChars="200"/>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采购需求：胃镜室扩建改造工程</w:t>
            </w:r>
            <w:r>
              <w:rPr>
                <w:rFonts w:hint="eastAsia" w:ascii="FangSong_GB2312" w:hAnsi="FangSong_GB2312" w:eastAsia="FangSong_GB2312" w:cs="FangSong_GB2312"/>
                <w:color w:val="000000"/>
                <w:kern w:val="0"/>
                <w:sz w:val="24"/>
                <w:lang w:val="en-US" w:eastAsia="zh-CN" w:bidi="ar"/>
              </w:rPr>
              <w:t>，评分方法见附件1、项目要求见附件2</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hint="eastAsia"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3个工作日内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A7AE86">
      <w:pPr>
        <w:jc w:val="left"/>
        <w:rPr>
          <w:rFonts w:hint="eastAsia"/>
          <w:b/>
          <w:bCs/>
          <w:sz w:val="30"/>
          <w:szCs w:val="30"/>
          <w:lang w:eastAsia="zh-CN"/>
        </w:rPr>
      </w:pPr>
    </w:p>
    <w:p w14:paraId="3A2D4D26">
      <w:pPr>
        <w:jc w:val="left"/>
        <w:rPr>
          <w:rFonts w:hint="eastAsia"/>
          <w:b/>
          <w:bCs/>
          <w:sz w:val="30"/>
          <w:szCs w:val="30"/>
          <w:lang w:val="en-US" w:eastAsia="zh-CN"/>
        </w:rPr>
      </w:pPr>
    </w:p>
    <w:p w14:paraId="7D95A85F">
      <w:pPr>
        <w:jc w:val="left"/>
        <w:rPr>
          <w:rFonts w:hint="default"/>
          <w:b/>
          <w:bCs/>
          <w:sz w:val="30"/>
          <w:szCs w:val="30"/>
          <w:lang w:val="en-US" w:eastAsia="zh-CN"/>
        </w:rPr>
      </w:pPr>
      <w:r>
        <w:rPr>
          <w:rFonts w:hint="eastAsia"/>
          <w:b/>
          <w:bCs/>
          <w:sz w:val="30"/>
          <w:szCs w:val="30"/>
          <w:lang w:val="en-US" w:eastAsia="zh-CN"/>
        </w:rPr>
        <w:t>附件1：评分方法</w:t>
      </w:r>
    </w:p>
    <w:tbl>
      <w:tblPr>
        <w:tblStyle w:val="14"/>
        <w:tblpPr w:leftFromText="180" w:rightFromText="180" w:vertAnchor="page" w:horzAnchor="page" w:tblpXSpec="center" w:tblpY="2098"/>
        <w:tblOverlap w:val="never"/>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550"/>
        <w:gridCol w:w="1560"/>
        <w:gridCol w:w="1695"/>
        <w:gridCol w:w="1785"/>
        <w:gridCol w:w="1626"/>
      </w:tblGrid>
      <w:tr w14:paraId="60D3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7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tcPr>
          <w:p w14:paraId="6A38E5C2">
            <w:pPr>
              <w:spacing w:line="260" w:lineRule="exact"/>
              <w:ind w:firstLine="1440" w:firstLineChars="600"/>
              <w:rPr>
                <w:rFonts w:ascii="仿宋_GB2312" w:hAnsi="仿宋_GB2312" w:eastAsia="仿宋_GB2312" w:cs="仿宋_GB2312"/>
                <w:sz w:val="24"/>
              </w:rPr>
            </w:pPr>
            <w:r>
              <w:rPr>
                <w:rFonts w:hint="eastAsia" w:ascii="仿宋_GB2312" w:hAnsi="仿宋_GB2312" w:eastAsia="仿宋_GB2312" w:cs="仿宋_GB2312"/>
                <w:sz w:val="24"/>
              </w:rPr>
              <w:t>投标单位</w:t>
            </w:r>
          </w:p>
          <w:p w14:paraId="0E01F889">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分值</w:t>
            </w:r>
          </w:p>
        </w:tc>
        <w:tc>
          <w:tcPr>
            <w:tcW w:w="1560" w:type="dxa"/>
            <w:tcBorders>
              <w:top w:val="single" w:color="DA554F" w:sz="12" w:space="0"/>
              <w:left w:val="single" w:color="E68F8A" w:sz="4" w:space="0"/>
              <w:bottom w:val="single" w:color="E68F8A" w:sz="4" w:space="0"/>
              <w:right w:val="single" w:color="E68F8A" w:sz="4" w:space="0"/>
            </w:tcBorders>
            <w:shd w:val="clear" w:color="auto" w:fill="auto"/>
            <w:vAlign w:val="center"/>
          </w:tcPr>
          <w:p w14:paraId="58B9233C">
            <w:pPr>
              <w:spacing w:line="260" w:lineRule="exact"/>
              <w:rPr>
                <w:rFonts w:ascii="仿宋_GB2312" w:hAnsi="仿宋_GB2312" w:eastAsia="仿宋_GB2312" w:cs="仿宋_GB2312"/>
                <w:szCs w:val="21"/>
              </w:rPr>
            </w:pPr>
          </w:p>
        </w:tc>
        <w:tc>
          <w:tcPr>
            <w:tcW w:w="1695" w:type="dxa"/>
            <w:tcBorders>
              <w:top w:val="single" w:color="DA554F" w:sz="12" w:space="0"/>
              <w:left w:val="single" w:color="E68F8A" w:sz="4" w:space="0"/>
              <w:bottom w:val="single" w:color="E68F8A" w:sz="4" w:space="0"/>
              <w:right w:val="single" w:color="E68F8A" w:sz="4" w:space="0"/>
            </w:tcBorders>
            <w:shd w:val="clear" w:color="auto" w:fill="F1CAC2"/>
            <w:vAlign w:val="center"/>
          </w:tcPr>
          <w:p w14:paraId="51D65E01">
            <w:pPr>
              <w:spacing w:line="260" w:lineRule="exact"/>
              <w:rPr>
                <w:rFonts w:ascii="仿宋_GB2312" w:hAnsi="仿宋_GB2312" w:eastAsia="仿宋_GB2312" w:cs="仿宋_GB2312"/>
                <w:szCs w:val="21"/>
              </w:rPr>
            </w:pPr>
          </w:p>
        </w:tc>
        <w:tc>
          <w:tcPr>
            <w:tcW w:w="1785" w:type="dxa"/>
            <w:tcBorders>
              <w:top w:val="single" w:color="DA554F" w:sz="12" w:space="0"/>
              <w:left w:val="single" w:color="E68F8A" w:sz="4" w:space="0"/>
              <w:bottom w:val="single" w:color="E68F8A" w:sz="4" w:space="0"/>
              <w:right w:val="single" w:color="DA554F" w:sz="4" w:space="0"/>
            </w:tcBorders>
            <w:shd w:val="clear" w:color="auto" w:fill="auto"/>
            <w:vAlign w:val="center"/>
          </w:tcPr>
          <w:p w14:paraId="70C021D3">
            <w:pPr>
              <w:spacing w:line="260" w:lineRule="exact"/>
              <w:rPr>
                <w:rFonts w:ascii="仿宋_GB2312" w:hAnsi="仿宋_GB2312" w:eastAsia="仿宋_GB2312" w:cs="仿宋_GB2312"/>
                <w:szCs w:val="21"/>
              </w:rPr>
            </w:pPr>
          </w:p>
        </w:tc>
        <w:tc>
          <w:tcPr>
            <w:tcW w:w="1626" w:type="dxa"/>
            <w:tcBorders>
              <w:top w:val="single" w:color="DA554F" w:sz="12" w:space="0"/>
              <w:left w:val="single" w:color="E68F8A" w:sz="4" w:space="0"/>
              <w:bottom w:val="single" w:color="E68F8A" w:sz="4" w:space="0"/>
              <w:right w:val="single" w:color="DA554F" w:sz="4" w:space="0"/>
            </w:tcBorders>
            <w:shd w:val="clear" w:color="auto" w:fill="F1CAC2"/>
          </w:tcPr>
          <w:p w14:paraId="2110A842">
            <w:pPr>
              <w:spacing w:line="260" w:lineRule="exact"/>
              <w:rPr>
                <w:rFonts w:ascii="仿宋_GB2312" w:hAnsi="仿宋_GB2312" w:eastAsia="仿宋_GB2312" w:cs="仿宋_GB2312"/>
                <w:szCs w:val="21"/>
              </w:rPr>
            </w:pPr>
          </w:p>
        </w:tc>
      </w:tr>
      <w:tr w14:paraId="1486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3570" w:type="dxa"/>
            <w:gridSpan w:val="2"/>
            <w:tcBorders>
              <w:top w:val="single" w:color="E68F8A" w:sz="12" w:space="0"/>
              <w:left w:val="single" w:color="DA554F" w:sz="12" w:space="0"/>
              <w:bottom w:val="single" w:color="E68F8A" w:sz="4" w:space="0"/>
              <w:right w:val="single" w:color="E68F8A" w:sz="4" w:space="0"/>
            </w:tcBorders>
            <w:shd w:val="clear" w:color="auto" w:fill="FDF7F6"/>
          </w:tcPr>
          <w:p w14:paraId="59725767">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tc>
        <w:tc>
          <w:tcPr>
            <w:tcW w:w="1560" w:type="dxa"/>
            <w:tcBorders>
              <w:top w:val="single" w:color="E68F8A" w:sz="12" w:space="0"/>
              <w:left w:val="single" w:color="E68F8A" w:sz="4" w:space="0"/>
              <w:bottom w:val="single" w:color="E68F8A" w:sz="4" w:space="0"/>
              <w:right w:val="single" w:color="E68F8A" w:sz="4" w:space="0"/>
            </w:tcBorders>
            <w:shd w:val="clear" w:color="auto" w:fill="auto"/>
            <w:vAlign w:val="center"/>
          </w:tcPr>
          <w:p w14:paraId="422EAF10">
            <w:pPr>
              <w:spacing w:line="260" w:lineRule="exact"/>
              <w:rPr>
                <w:rFonts w:ascii="仿宋_GB2312" w:hAnsi="仿宋_GB2312" w:eastAsia="仿宋_GB2312" w:cs="仿宋_GB2312"/>
                <w:sz w:val="24"/>
              </w:rPr>
            </w:pPr>
          </w:p>
        </w:tc>
        <w:tc>
          <w:tcPr>
            <w:tcW w:w="1695" w:type="dxa"/>
            <w:tcBorders>
              <w:top w:val="single" w:color="E68F8A" w:sz="12" w:space="0"/>
              <w:left w:val="single" w:color="E68F8A" w:sz="4" w:space="0"/>
              <w:bottom w:val="single" w:color="E68F8A" w:sz="4" w:space="0"/>
              <w:right w:val="single" w:color="E68F8A" w:sz="4" w:space="0"/>
            </w:tcBorders>
            <w:shd w:val="clear" w:color="auto" w:fill="F1CAC2"/>
            <w:vAlign w:val="center"/>
          </w:tcPr>
          <w:p w14:paraId="31B6B97C">
            <w:pPr>
              <w:spacing w:line="260" w:lineRule="exact"/>
              <w:rPr>
                <w:rFonts w:ascii="仿宋_GB2312" w:hAnsi="仿宋_GB2312" w:eastAsia="仿宋_GB2312" w:cs="仿宋_GB2312"/>
                <w:sz w:val="24"/>
              </w:rPr>
            </w:pPr>
          </w:p>
        </w:tc>
        <w:tc>
          <w:tcPr>
            <w:tcW w:w="1785" w:type="dxa"/>
            <w:tcBorders>
              <w:top w:val="single" w:color="E68F8A" w:sz="12" w:space="0"/>
              <w:left w:val="single" w:color="E68F8A" w:sz="4" w:space="0"/>
              <w:bottom w:val="single" w:color="E68F8A" w:sz="4" w:space="0"/>
              <w:right w:val="single" w:color="DA554F" w:sz="4" w:space="0"/>
            </w:tcBorders>
            <w:shd w:val="clear" w:color="auto" w:fill="auto"/>
            <w:vAlign w:val="center"/>
          </w:tcPr>
          <w:p w14:paraId="105C37F7">
            <w:pPr>
              <w:spacing w:line="260" w:lineRule="exact"/>
              <w:rPr>
                <w:rFonts w:ascii="仿宋_GB2312" w:hAnsi="仿宋_GB2312" w:eastAsia="仿宋_GB2312" w:cs="仿宋_GB2312"/>
                <w:sz w:val="24"/>
              </w:rPr>
            </w:pPr>
          </w:p>
        </w:tc>
        <w:tc>
          <w:tcPr>
            <w:tcW w:w="1626" w:type="dxa"/>
            <w:tcBorders>
              <w:top w:val="single" w:color="E68F8A" w:sz="12" w:space="0"/>
              <w:left w:val="single" w:color="E68F8A" w:sz="4" w:space="0"/>
              <w:bottom w:val="single" w:color="E68F8A" w:sz="4" w:space="0"/>
              <w:right w:val="single" w:color="DA554F" w:sz="4" w:space="0"/>
            </w:tcBorders>
            <w:shd w:val="clear" w:color="auto" w:fill="F1CAC2"/>
          </w:tcPr>
          <w:p w14:paraId="49679D2B">
            <w:pPr>
              <w:spacing w:line="260" w:lineRule="exact"/>
              <w:rPr>
                <w:rFonts w:ascii="仿宋_GB2312" w:hAnsi="仿宋_GB2312" w:eastAsia="仿宋_GB2312" w:cs="仿宋_GB2312"/>
                <w:sz w:val="24"/>
              </w:rPr>
            </w:pPr>
          </w:p>
        </w:tc>
      </w:tr>
      <w:tr w14:paraId="68F6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020"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0DE58961">
            <w:pPr>
              <w:spacing w:line="260" w:lineRule="exact"/>
              <w:rPr>
                <w:rFonts w:hint="eastAsia" w:ascii="仿宋_GB2312" w:hAnsi="仿宋_GB2312" w:eastAsia="仿宋_GB2312" w:cs="仿宋_GB2312"/>
                <w:sz w:val="24"/>
              </w:rPr>
            </w:pPr>
            <w:r>
              <w:rPr>
                <w:rFonts w:hint="eastAsia" w:ascii="仿宋_GB2312" w:hAnsi="仿宋_GB2312" w:eastAsia="仿宋_GB2312" w:cs="仿宋_GB2312"/>
                <w:sz w:val="24"/>
              </w:rPr>
              <w:t>投标</w:t>
            </w:r>
          </w:p>
          <w:p w14:paraId="645842FD">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文件</w:t>
            </w:r>
          </w:p>
        </w:tc>
        <w:tc>
          <w:tcPr>
            <w:tcW w:w="2550" w:type="dxa"/>
            <w:tcBorders>
              <w:top w:val="single" w:color="E68F8A" w:sz="4" w:space="0"/>
              <w:left w:val="single" w:color="E68F8A" w:sz="4" w:space="0"/>
              <w:right w:val="single" w:color="E68F8A" w:sz="4" w:space="0"/>
            </w:tcBorders>
            <w:shd w:val="clear" w:color="auto" w:fill="F1CAC2"/>
            <w:vAlign w:val="center"/>
          </w:tcPr>
          <w:p w14:paraId="3D5A10CF">
            <w:pPr>
              <w:spacing w:line="260" w:lineRule="exact"/>
              <w:rPr>
                <w:rFonts w:ascii="仿宋_GB2312" w:hAnsi="仿宋_GB2312" w:eastAsia="仿宋_GB2312" w:cs="仿宋_GB2312"/>
                <w:szCs w:val="21"/>
              </w:rPr>
            </w:pPr>
            <w:r>
              <w:rPr>
                <w:rFonts w:hint="eastAsia" w:ascii="仿宋_GB2312" w:hAnsi="仿宋_GB2312" w:eastAsia="仿宋_GB2312" w:cs="仿宋_GB2312"/>
                <w:kern w:val="0"/>
                <w:szCs w:val="21"/>
                <w:shd w:val="clear" w:color="auto" w:fill="FFFFFF"/>
              </w:rPr>
              <w:t>有投标涵（格式自拟）、有效营业执照、资质证书</w:t>
            </w:r>
            <w:r>
              <w:rPr>
                <w:rFonts w:hint="eastAsia" w:ascii="仿宋_GB2312" w:hAnsi="Times New Roman" w:eastAsia="仿宋_GB2312"/>
                <w:szCs w:val="21"/>
              </w:rPr>
              <w:t>、安全生产许可证、承担本项目的项目经理二级建筑工程专业注册建造师证书</w:t>
            </w:r>
            <w:r>
              <w:rPr>
                <w:rFonts w:hint="eastAsia" w:ascii="仿宋_GB2312" w:hAnsi="仿宋_GB2312" w:eastAsia="仿宋_GB2312" w:cs="仿宋_GB2312"/>
                <w:kern w:val="0"/>
                <w:szCs w:val="21"/>
                <w:shd w:val="clear" w:color="auto" w:fill="FFFFFF"/>
              </w:rPr>
              <w:t>等5项内容。</w:t>
            </w:r>
            <w:r>
              <w:rPr>
                <w:rFonts w:hint="eastAsia" w:ascii="仿宋_GB2312" w:hAnsi="仿宋_GB2312" w:eastAsia="仿宋_GB2312" w:cs="仿宋_GB2312"/>
                <w:szCs w:val="21"/>
              </w:rPr>
              <w:t>（满分30分)缺一项扣6分</w:t>
            </w:r>
          </w:p>
        </w:tc>
        <w:tc>
          <w:tcPr>
            <w:tcW w:w="1560" w:type="dxa"/>
            <w:tcBorders>
              <w:top w:val="single" w:color="E68F8A" w:sz="4" w:space="0"/>
              <w:left w:val="single" w:color="E68F8A" w:sz="4" w:space="0"/>
              <w:right w:val="single" w:color="E68F8A" w:sz="4" w:space="0"/>
            </w:tcBorders>
            <w:shd w:val="clear" w:color="auto" w:fill="FDF7F6"/>
            <w:vAlign w:val="center"/>
          </w:tcPr>
          <w:p w14:paraId="5D5C0D4F">
            <w:pPr>
              <w:spacing w:line="260" w:lineRule="exact"/>
              <w:rPr>
                <w:rFonts w:ascii="仿宋_GB2312" w:hAnsi="仿宋_GB2312" w:eastAsia="仿宋_GB2312" w:cs="仿宋_GB2312"/>
                <w:sz w:val="24"/>
              </w:rPr>
            </w:pPr>
          </w:p>
        </w:tc>
        <w:tc>
          <w:tcPr>
            <w:tcW w:w="1695" w:type="dxa"/>
            <w:tcBorders>
              <w:top w:val="single" w:color="E68F8A" w:sz="4" w:space="0"/>
              <w:left w:val="single" w:color="E68F8A" w:sz="4" w:space="0"/>
              <w:right w:val="single" w:color="DA554F" w:sz="4" w:space="0"/>
            </w:tcBorders>
            <w:shd w:val="clear" w:color="auto" w:fill="F1CAC2"/>
            <w:vAlign w:val="center"/>
          </w:tcPr>
          <w:p w14:paraId="081918A9">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p>
        </w:tc>
        <w:tc>
          <w:tcPr>
            <w:tcW w:w="1785" w:type="dxa"/>
            <w:tcBorders>
              <w:top w:val="single" w:color="E68F8A" w:sz="4" w:space="0"/>
              <w:left w:val="single" w:color="DA554F" w:sz="4" w:space="0"/>
              <w:right w:val="single" w:color="E68F8A" w:sz="4" w:space="0"/>
            </w:tcBorders>
            <w:shd w:val="clear" w:color="auto" w:fill="FDF7F6"/>
            <w:vAlign w:val="center"/>
          </w:tcPr>
          <w:p w14:paraId="1F2645BC">
            <w:pPr>
              <w:spacing w:line="260" w:lineRule="exact"/>
              <w:rPr>
                <w:rFonts w:ascii="仿宋_GB2312" w:hAnsi="仿宋_GB2312" w:eastAsia="仿宋_GB2312" w:cs="仿宋_GB2312"/>
                <w:sz w:val="24"/>
              </w:rPr>
            </w:pPr>
          </w:p>
        </w:tc>
        <w:tc>
          <w:tcPr>
            <w:tcW w:w="1626" w:type="dxa"/>
            <w:tcBorders>
              <w:top w:val="single" w:color="E68F8A" w:sz="4" w:space="0"/>
              <w:left w:val="single" w:color="DA554F" w:sz="4" w:space="0"/>
              <w:bottom w:val="single" w:color="E68F8A" w:sz="4" w:space="0"/>
              <w:right w:val="single" w:color="E68F8A" w:sz="4" w:space="0"/>
            </w:tcBorders>
            <w:shd w:val="clear" w:color="auto" w:fill="F1CAC2"/>
          </w:tcPr>
          <w:p w14:paraId="419326DF">
            <w:pPr>
              <w:spacing w:line="260" w:lineRule="exact"/>
              <w:rPr>
                <w:rFonts w:ascii="仿宋_GB2312" w:hAnsi="仿宋_GB2312" w:eastAsia="仿宋_GB2312" w:cs="仿宋_GB2312"/>
                <w:sz w:val="24"/>
              </w:rPr>
            </w:pPr>
          </w:p>
        </w:tc>
      </w:tr>
      <w:tr w14:paraId="5B44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020"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0554151F">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质量</w:t>
            </w:r>
          </w:p>
          <w:p w14:paraId="793D08DF">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要求</w:t>
            </w:r>
          </w:p>
        </w:tc>
        <w:tc>
          <w:tcPr>
            <w:tcW w:w="2550"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74CC08D8">
            <w:pPr>
              <w:spacing w:line="260" w:lineRule="exact"/>
              <w:rPr>
                <w:rFonts w:ascii="仿宋_GB2312" w:hAnsi="仿宋_GB2312" w:eastAsia="仿宋_GB2312" w:cs="仿宋_GB2312"/>
                <w:szCs w:val="21"/>
              </w:rPr>
            </w:pPr>
            <w:r>
              <w:rPr>
                <w:rFonts w:hint="eastAsia" w:ascii="仿宋_GB2312" w:hAnsi="仿宋_GB2312" w:eastAsia="仿宋_GB2312" w:cs="仿宋_GB2312"/>
                <w:kern w:val="0"/>
                <w:szCs w:val="21"/>
                <w:shd w:val="clear" w:color="auto" w:fill="FFFFFF"/>
              </w:rPr>
              <w:t>满足现行相关设计、施工及行业相关标准要求，有质量承诺。</w:t>
            </w:r>
            <w:r>
              <w:rPr>
                <w:rFonts w:hint="eastAsia" w:ascii="仿宋_GB2312" w:hAnsi="仿宋_GB2312" w:eastAsia="仿宋_GB2312" w:cs="仿宋_GB2312"/>
                <w:szCs w:val="21"/>
              </w:rPr>
              <w:t>满分5分，满足得5分，不满足得0分</w:t>
            </w:r>
          </w:p>
        </w:tc>
        <w:tc>
          <w:tcPr>
            <w:tcW w:w="1560"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79B1705F">
            <w:pPr>
              <w:spacing w:line="260" w:lineRule="exact"/>
              <w:rPr>
                <w:rFonts w:ascii="仿宋_GB2312" w:hAnsi="仿宋_GB2312" w:eastAsia="仿宋_GB2312" w:cs="仿宋_GB2312"/>
                <w:sz w:val="24"/>
              </w:rPr>
            </w:pPr>
          </w:p>
        </w:tc>
        <w:tc>
          <w:tcPr>
            <w:tcW w:w="1695"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1AD40220">
            <w:pPr>
              <w:spacing w:line="260" w:lineRule="exact"/>
              <w:rPr>
                <w:rFonts w:ascii="仿宋_GB2312" w:hAnsi="仿宋_GB2312" w:eastAsia="仿宋_GB2312" w:cs="仿宋_GB2312"/>
                <w:sz w:val="24"/>
              </w:rPr>
            </w:pPr>
          </w:p>
        </w:tc>
        <w:tc>
          <w:tcPr>
            <w:tcW w:w="1785" w:type="dxa"/>
            <w:tcBorders>
              <w:top w:val="single" w:color="E68F8A" w:sz="4" w:space="0"/>
              <w:left w:val="single" w:color="DA554F" w:sz="4" w:space="0"/>
              <w:bottom w:val="single" w:color="E68F8A" w:sz="4" w:space="0"/>
              <w:right w:val="single" w:color="E68F8A" w:sz="4" w:space="0"/>
            </w:tcBorders>
            <w:shd w:val="clear" w:color="auto" w:fill="FDF7F6"/>
            <w:vAlign w:val="center"/>
          </w:tcPr>
          <w:p w14:paraId="5C8D34DB">
            <w:pPr>
              <w:spacing w:line="260" w:lineRule="exact"/>
              <w:rPr>
                <w:rFonts w:ascii="仿宋_GB2312" w:hAnsi="仿宋_GB2312" w:eastAsia="仿宋_GB2312" w:cs="仿宋_GB2312"/>
                <w:sz w:val="24"/>
              </w:rPr>
            </w:pPr>
          </w:p>
        </w:tc>
        <w:tc>
          <w:tcPr>
            <w:tcW w:w="1626" w:type="dxa"/>
            <w:tcBorders>
              <w:top w:val="single" w:color="E68F8A" w:sz="4" w:space="0"/>
              <w:left w:val="single" w:color="DA554F" w:sz="4" w:space="0"/>
              <w:bottom w:val="single" w:color="E68F8A" w:sz="4" w:space="0"/>
              <w:right w:val="single" w:color="E68F8A" w:sz="4" w:space="0"/>
            </w:tcBorders>
            <w:shd w:val="clear" w:color="auto" w:fill="F1CAC2"/>
          </w:tcPr>
          <w:p w14:paraId="1E5274BA">
            <w:pPr>
              <w:spacing w:line="260" w:lineRule="exact"/>
              <w:rPr>
                <w:rFonts w:ascii="仿宋_GB2312" w:hAnsi="仿宋_GB2312" w:eastAsia="仿宋_GB2312" w:cs="仿宋_GB2312"/>
                <w:sz w:val="24"/>
              </w:rPr>
            </w:pPr>
          </w:p>
        </w:tc>
      </w:tr>
      <w:tr w14:paraId="2274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1020" w:type="dxa"/>
            <w:tcBorders>
              <w:top w:val="single" w:color="E68F8A" w:sz="4" w:space="0"/>
              <w:left w:val="single" w:color="DA554F" w:sz="12" w:space="0"/>
              <w:bottom w:val="single" w:color="auto" w:sz="4" w:space="0"/>
              <w:right w:val="single" w:color="E68F8A" w:sz="4" w:space="0"/>
            </w:tcBorders>
            <w:shd w:val="clear" w:color="auto" w:fill="FDF7F6"/>
            <w:vAlign w:val="center"/>
          </w:tcPr>
          <w:p w14:paraId="6C2E1DAC">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业绩</w:t>
            </w:r>
          </w:p>
        </w:tc>
        <w:tc>
          <w:tcPr>
            <w:tcW w:w="2550" w:type="dxa"/>
            <w:tcBorders>
              <w:top w:val="single" w:color="E68F8A" w:sz="4" w:space="0"/>
              <w:left w:val="single" w:color="E68F8A" w:sz="4" w:space="0"/>
              <w:bottom w:val="single" w:color="auto" w:sz="4" w:space="0"/>
              <w:right w:val="single" w:color="E68F8A" w:sz="4" w:space="0"/>
            </w:tcBorders>
            <w:shd w:val="clear" w:color="auto" w:fill="F1CAC2"/>
            <w:vAlign w:val="center"/>
          </w:tcPr>
          <w:p w14:paraId="21E246EC">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1家以上，满分5分，满足得5分，不满足得0分</w:t>
            </w:r>
          </w:p>
        </w:tc>
        <w:tc>
          <w:tcPr>
            <w:tcW w:w="1560" w:type="dxa"/>
            <w:tcBorders>
              <w:top w:val="single" w:color="E68F8A" w:sz="4" w:space="0"/>
              <w:left w:val="single" w:color="E68F8A" w:sz="4" w:space="0"/>
              <w:bottom w:val="single" w:color="auto" w:sz="4" w:space="0"/>
              <w:right w:val="single" w:color="E68F8A" w:sz="4" w:space="0"/>
            </w:tcBorders>
            <w:shd w:val="clear" w:color="auto" w:fill="FDF7F6"/>
            <w:vAlign w:val="center"/>
          </w:tcPr>
          <w:p w14:paraId="6F60395A">
            <w:pPr>
              <w:spacing w:line="260" w:lineRule="exact"/>
              <w:rPr>
                <w:rFonts w:ascii="仿宋_GB2312" w:hAnsi="仿宋_GB2312" w:eastAsia="仿宋_GB2312" w:cs="仿宋_GB2312"/>
                <w:sz w:val="24"/>
              </w:rPr>
            </w:pPr>
          </w:p>
        </w:tc>
        <w:tc>
          <w:tcPr>
            <w:tcW w:w="1695" w:type="dxa"/>
            <w:tcBorders>
              <w:top w:val="single" w:color="E68F8A" w:sz="4" w:space="0"/>
              <w:left w:val="single" w:color="E68F8A" w:sz="4" w:space="0"/>
              <w:bottom w:val="single" w:color="auto" w:sz="4" w:space="0"/>
              <w:right w:val="single" w:color="DA554F" w:sz="4" w:space="0"/>
            </w:tcBorders>
            <w:shd w:val="clear" w:color="auto" w:fill="F1CAC2"/>
            <w:vAlign w:val="center"/>
          </w:tcPr>
          <w:p w14:paraId="4A82C322">
            <w:pPr>
              <w:spacing w:line="260" w:lineRule="exact"/>
              <w:rPr>
                <w:rFonts w:ascii="仿宋_GB2312" w:hAnsi="仿宋_GB2312" w:eastAsia="仿宋_GB2312" w:cs="仿宋_GB2312"/>
                <w:sz w:val="24"/>
              </w:rPr>
            </w:pPr>
          </w:p>
        </w:tc>
        <w:tc>
          <w:tcPr>
            <w:tcW w:w="1785" w:type="dxa"/>
            <w:tcBorders>
              <w:top w:val="single" w:color="E68F8A" w:sz="4" w:space="0"/>
              <w:left w:val="single" w:color="DA554F" w:sz="4" w:space="0"/>
              <w:bottom w:val="single" w:color="auto" w:sz="4" w:space="0"/>
              <w:right w:val="single" w:color="E68F8A" w:sz="4" w:space="0"/>
            </w:tcBorders>
            <w:shd w:val="clear" w:color="auto" w:fill="FDF7F6"/>
            <w:vAlign w:val="center"/>
          </w:tcPr>
          <w:p w14:paraId="17B964E1">
            <w:pPr>
              <w:spacing w:line="260" w:lineRule="exact"/>
              <w:rPr>
                <w:rFonts w:ascii="仿宋_GB2312" w:hAnsi="仿宋_GB2312" w:eastAsia="仿宋_GB2312" w:cs="仿宋_GB2312"/>
                <w:sz w:val="24"/>
              </w:rPr>
            </w:pPr>
          </w:p>
        </w:tc>
        <w:tc>
          <w:tcPr>
            <w:tcW w:w="1626" w:type="dxa"/>
            <w:tcBorders>
              <w:top w:val="single" w:color="E68F8A" w:sz="4" w:space="0"/>
              <w:left w:val="single" w:color="DA554F" w:sz="4" w:space="0"/>
              <w:bottom w:val="single" w:color="auto" w:sz="4" w:space="0"/>
              <w:right w:val="single" w:color="E68F8A" w:sz="4" w:space="0"/>
            </w:tcBorders>
            <w:shd w:val="clear" w:color="auto" w:fill="F1CAC2"/>
          </w:tcPr>
          <w:p w14:paraId="4149453E">
            <w:pPr>
              <w:spacing w:line="260" w:lineRule="exact"/>
              <w:rPr>
                <w:rFonts w:ascii="仿宋_GB2312" w:hAnsi="仿宋_GB2312" w:eastAsia="仿宋_GB2312" w:cs="仿宋_GB2312"/>
                <w:sz w:val="24"/>
              </w:rPr>
            </w:pPr>
          </w:p>
        </w:tc>
      </w:tr>
      <w:tr w14:paraId="1D26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1020" w:type="dxa"/>
            <w:tcBorders>
              <w:top w:val="single" w:color="auto" w:sz="4" w:space="0"/>
              <w:left w:val="single" w:color="DA554F" w:sz="12" w:space="0"/>
              <w:bottom w:val="single" w:color="E68F8A" w:sz="4" w:space="0"/>
              <w:right w:val="single" w:color="E68F8A" w:sz="4" w:space="0"/>
            </w:tcBorders>
            <w:shd w:val="clear" w:color="auto" w:fill="FDF7F6"/>
            <w:vAlign w:val="center"/>
          </w:tcPr>
          <w:p w14:paraId="294B2205">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方案</w:t>
            </w:r>
          </w:p>
          <w:p w14:paraId="4EE488D1">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陈述</w:t>
            </w:r>
          </w:p>
        </w:tc>
        <w:tc>
          <w:tcPr>
            <w:tcW w:w="2550" w:type="dxa"/>
            <w:tcBorders>
              <w:top w:val="single" w:color="auto" w:sz="4" w:space="0"/>
              <w:left w:val="single" w:color="E68F8A" w:sz="4" w:space="0"/>
              <w:bottom w:val="single" w:color="E68F8A" w:sz="4" w:space="0"/>
              <w:right w:val="single" w:color="E68F8A" w:sz="4" w:space="0"/>
            </w:tcBorders>
            <w:shd w:val="clear" w:color="auto" w:fill="F1CAC2"/>
            <w:vAlign w:val="center"/>
          </w:tcPr>
          <w:p w14:paraId="2781C6C1">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陈述内容：严格按医院发出竞争性磋商施工清单逐项说明</w:t>
            </w:r>
            <w:r>
              <w:rPr>
                <w:rFonts w:hint="eastAsia" w:ascii="仿宋_GB2312" w:hAnsi="仿宋_GB2312" w:eastAsia="仿宋_GB2312" w:cs="仿宋_GB2312"/>
                <w:kern w:val="0"/>
                <w:szCs w:val="21"/>
                <w:shd w:val="clear" w:color="auto" w:fill="FFFFFF"/>
              </w:rPr>
              <w:t>。</w:t>
            </w:r>
            <w:r>
              <w:rPr>
                <w:rFonts w:hint="eastAsia" w:ascii="仿宋_GB2312" w:hAnsi="仿宋_GB2312" w:eastAsia="仿宋_GB2312" w:cs="仿宋_GB2312"/>
                <w:szCs w:val="21"/>
              </w:rPr>
              <w:t>满分20分，全部满足得20分，部分满足得10分，未作出说明得0分</w:t>
            </w:r>
          </w:p>
        </w:tc>
        <w:tc>
          <w:tcPr>
            <w:tcW w:w="1560" w:type="dxa"/>
            <w:tcBorders>
              <w:top w:val="single" w:color="auto" w:sz="4" w:space="0"/>
              <w:left w:val="single" w:color="E68F8A" w:sz="4" w:space="0"/>
              <w:bottom w:val="single" w:color="E68F8A" w:sz="4" w:space="0"/>
              <w:right w:val="single" w:color="E68F8A" w:sz="4" w:space="0"/>
            </w:tcBorders>
            <w:shd w:val="clear" w:color="auto" w:fill="FDF7F6"/>
            <w:vAlign w:val="center"/>
          </w:tcPr>
          <w:p w14:paraId="40824667">
            <w:pPr>
              <w:spacing w:line="260" w:lineRule="exact"/>
              <w:rPr>
                <w:rFonts w:ascii="仿宋_GB2312" w:hAnsi="仿宋_GB2312" w:eastAsia="仿宋_GB2312" w:cs="仿宋_GB2312"/>
                <w:sz w:val="24"/>
              </w:rPr>
            </w:pPr>
          </w:p>
        </w:tc>
        <w:tc>
          <w:tcPr>
            <w:tcW w:w="1695" w:type="dxa"/>
            <w:tcBorders>
              <w:top w:val="single" w:color="auto" w:sz="4" w:space="0"/>
              <w:left w:val="single" w:color="E68F8A" w:sz="4" w:space="0"/>
              <w:bottom w:val="single" w:color="E68F8A" w:sz="4" w:space="0"/>
              <w:right w:val="single" w:color="DA554F" w:sz="4" w:space="0"/>
            </w:tcBorders>
            <w:shd w:val="clear" w:color="auto" w:fill="F1CAC2"/>
            <w:vAlign w:val="center"/>
          </w:tcPr>
          <w:p w14:paraId="0FDD78ED">
            <w:pPr>
              <w:spacing w:line="260" w:lineRule="exact"/>
              <w:rPr>
                <w:rFonts w:ascii="仿宋_GB2312" w:hAnsi="仿宋_GB2312" w:eastAsia="仿宋_GB2312" w:cs="仿宋_GB2312"/>
                <w:sz w:val="24"/>
              </w:rPr>
            </w:pPr>
          </w:p>
        </w:tc>
        <w:tc>
          <w:tcPr>
            <w:tcW w:w="1785" w:type="dxa"/>
            <w:tcBorders>
              <w:top w:val="single" w:color="auto" w:sz="4" w:space="0"/>
              <w:left w:val="single" w:color="DA554F" w:sz="4" w:space="0"/>
              <w:bottom w:val="single" w:color="E68F8A" w:sz="4" w:space="0"/>
              <w:right w:val="single" w:color="E68F8A" w:sz="4" w:space="0"/>
            </w:tcBorders>
            <w:shd w:val="clear" w:color="auto" w:fill="FDF7F6"/>
            <w:vAlign w:val="center"/>
          </w:tcPr>
          <w:p w14:paraId="5B1AC974">
            <w:pPr>
              <w:spacing w:line="260" w:lineRule="exact"/>
              <w:rPr>
                <w:rFonts w:ascii="仿宋_GB2312" w:hAnsi="仿宋_GB2312" w:eastAsia="仿宋_GB2312" w:cs="仿宋_GB2312"/>
                <w:sz w:val="24"/>
              </w:rPr>
            </w:pPr>
          </w:p>
        </w:tc>
        <w:tc>
          <w:tcPr>
            <w:tcW w:w="1626" w:type="dxa"/>
            <w:tcBorders>
              <w:top w:val="single" w:color="auto" w:sz="4" w:space="0"/>
              <w:left w:val="single" w:color="DA554F" w:sz="4" w:space="0"/>
              <w:bottom w:val="single" w:color="E68F8A" w:sz="4" w:space="0"/>
              <w:right w:val="single" w:color="E68F8A" w:sz="4" w:space="0"/>
            </w:tcBorders>
            <w:shd w:val="clear" w:color="auto" w:fill="F1CAC2"/>
          </w:tcPr>
          <w:p w14:paraId="2ADA3663">
            <w:pPr>
              <w:spacing w:line="260" w:lineRule="exact"/>
              <w:rPr>
                <w:rFonts w:ascii="仿宋_GB2312" w:hAnsi="仿宋_GB2312" w:eastAsia="仿宋_GB2312" w:cs="仿宋_GB2312"/>
                <w:sz w:val="24"/>
              </w:rPr>
            </w:pPr>
          </w:p>
        </w:tc>
      </w:tr>
      <w:tr w14:paraId="7D05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1020"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57F01F97">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价格分</w:t>
            </w:r>
          </w:p>
        </w:tc>
        <w:tc>
          <w:tcPr>
            <w:tcW w:w="2550"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4B5CD052">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产品报价（满分30分)</w:t>
            </w:r>
          </w:p>
          <w:p w14:paraId="1C4907F9">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报价最低得满分30分，按报价高低依次递减3分</w:t>
            </w:r>
          </w:p>
        </w:tc>
        <w:tc>
          <w:tcPr>
            <w:tcW w:w="1560"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2C3A19F7">
            <w:pPr>
              <w:spacing w:line="260" w:lineRule="exact"/>
              <w:rPr>
                <w:rFonts w:ascii="仿宋_GB2312" w:hAnsi="仿宋_GB2312" w:eastAsia="仿宋_GB2312" w:cs="仿宋_GB2312"/>
                <w:sz w:val="24"/>
              </w:rPr>
            </w:pPr>
          </w:p>
          <w:p w14:paraId="531A6914">
            <w:pPr>
              <w:spacing w:line="260" w:lineRule="exact"/>
              <w:rPr>
                <w:rFonts w:ascii="仿宋_GB2312" w:hAnsi="仿宋_GB2312" w:eastAsia="仿宋_GB2312" w:cs="仿宋_GB2312"/>
                <w:sz w:val="24"/>
              </w:rPr>
            </w:pPr>
          </w:p>
        </w:tc>
        <w:tc>
          <w:tcPr>
            <w:tcW w:w="1695"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4E001AEA">
            <w:pPr>
              <w:spacing w:line="260" w:lineRule="exact"/>
              <w:rPr>
                <w:rFonts w:ascii="仿宋_GB2312" w:hAnsi="仿宋_GB2312" w:eastAsia="仿宋_GB2312" w:cs="仿宋_GB2312"/>
                <w:sz w:val="24"/>
              </w:rPr>
            </w:pPr>
          </w:p>
          <w:p w14:paraId="2389719A">
            <w:pPr>
              <w:spacing w:line="260" w:lineRule="exact"/>
              <w:rPr>
                <w:rFonts w:ascii="仿宋_GB2312" w:hAnsi="仿宋_GB2312" w:eastAsia="仿宋_GB2312" w:cs="仿宋_GB2312"/>
                <w:sz w:val="24"/>
              </w:rPr>
            </w:pPr>
          </w:p>
        </w:tc>
        <w:tc>
          <w:tcPr>
            <w:tcW w:w="1785" w:type="dxa"/>
            <w:tcBorders>
              <w:top w:val="single" w:color="E68F8A" w:sz="4" w:space="0"/>
              <w:left w:val="single" w:color="DA554F" w:sz="4" w:space="0"/>
              <w:bottom w:val="single" w:color="E68F8A" w:sz="4" w:space="0"/>
              <w:right w:val="single" w:color="E68F8A" w:sz="4" w:space="0"/>
            </w:tcBorders>
            <w:shd w:val="clear" w:color="auto" w:fill="FDF7F6"/>
            <w:vAlign w:val="center"/>
          </w:tcPr>
          <w:p w14:paraId="65AA34CE">
            <w:pPr>
              <w:spacing w:line="260" w:lineRule="exact"/>
              <w:rPr>
                <w:rFonts w:ascii="仿宋_GB2312" w:hAnsi="仿宋_GB2312" w:eastAsia="仿宋_GB2312" w:cs="仿宋_GB2312"/>
                <w:sz w:val="24"/>
              </w:rPr>
            </w:pPr>
          </w:p>
        </w:tc>
        <w:tc>
          <w:tcPr>
            <w:tcW w:w="1626" w:type="dxa"/>
            <w:tcBorders>
              <w:top w:val="single" w:color="E68F8A" w:sz="4" w:space="0"/>
              <w:left w:val="single" w:color="DA554F" w:sz="4" w:space="0"/>
              <w:bottom w:val="single" w:color="E68F8A" w:sz="4" w:space="0"/>
              <w:right w:val="single" w:color="E68F8A" w:sz="4" w:space="0"/>
            </w:tcBorders>
            <w:shd w:val="clear" w:color="auto" w:fill="F1CAC2"/>
          </w:tcPr>
          <w:p w14:paraId="7738877D">
            <w:pPr>
              <w:spacing w:line="260" w:lineRule="exact"/>
              <w:rPr>
                <w:rFonts w:ascii="仿宋_GB2312" w:hAnsi="仿宋_GB2312" w:eastAsia="仿宋_GB2312" w:cs="仿宋_GB2312"/>
                <w:sz w:val="24"/>
              </w:rPr>
            </w:pPr>
          </w:p>
        </w:tc>
      </w:tr>
      <w:tr w14:paraId="1AF5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1020" w:type="dxa"/>
            <w:tcBorders>
              <w:top w:val="single" w:color="E68F8A" w:sz="4" w:space="0"/>
              <w:left w:val="single" w:color="DA554F" w:sz="12" w:space="0"/>
              <w:bottom w:val="single" w:color="E68F8A" w:sz="4" w:space="0"/>
              <w:right w:val="single" w:color="E68F8A" w:sz="4" w:space="0"/>
            </w:tcBorders>
            <w:shd w:val="clear" w:color="auto" w:fill="FDF7F6"/>
            <w:vAlign w:val="center"/>
          </w:tcPr>
          <w:p w14:paraId="7E60A495">
            <w:pPr>
              <w:spacing w:line="260" w:lineRule="exact"/>
              <w:rPr>
                <w:rFonts w:ascii="仿宋_GB2312" w:hAnsi="仿宋_GB2312" w:eastAsia="仿宋_GB2312" w:cs="仿宋_GB2312"/>
                <w:sz w:val="24"/>
              </w:rPr>
            </w:pPr>
            <w:r>
              <w:rPr>
                <w:rFonts w:hint="eastAsia" w:ascii="仿宋_GB2312" w:hAnsi="仿宋_GB2312" w:eastAsia="仿宋_GB2312" w:cs="仿宋_GB2312"/>
                <w:sz w:val="24"/>
              </w:rPr>
              <w:t>工期分</w:t>
            </w:r>
          </w:p>
        </w:tc>
        <w:tc>
          <w:tcPr>
            <w:tcW w:w="2550" w:type="dxa"/>
            <w:tcBorders>
              <w:top w:val="single" w:color="E68F8A" w:sz="4" w:space="0"/>
              <w:left w:val="single" w:color="E68F8A" w:sz="4" w:space="0"/>
              <w:bottom w:val="single" w:color="E68F8A" w:sz="4" w:space="0"/>
              <w:right w:val="single" w:color="E68F8A" w:sz="4" w:space="0"/>
            </w:tcBorders>
            <w:shd w:val="clear" w:color="auto" w:fill="F1CAC2"/>
            <w:vAlign w:val="center"/>
          </w:tcPr>
          <w:p w14:paraId="0C72EBF5">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满分10分，满足得10分，不满足得5分</w:t>
            </w:r>
          </w:p>
        </w:tc>
        <w:tc>
          <w:tcPr>
            <w:tcW w:w="1560" w:type="dxa"/>
            <w:tcBorders>
              <w:top w:val="single" w:color="E68F8A" w:sz="4" w:space="0"/>
              <w:left w:val="single" w:color="E68F8A" w:sz="4" w:space="0"/>
              <w:bottom w:val="single" w:color="E68F8A" w:sz="4" w:space="0"/>
              <w:right w:val="single" w:color="E68F8A" w:sz="4" w:space="0"/>
            </w:tcBorders>
            <w:shd w:val="clear" w:color="auto" w:fill="FDF7F6"/>
            <w:vAlign w:val="center"/>
          </w:tcPr>
          <w:p w14:paraId="3A83A021">
            <w:pPr>
              <w:spacing w:line="260" w:lineRule="exact"/>
              <w:rPr>
                <w:rFonts w:ascii="仿宋_GB2312" w:hAnsi="仿宋_GB2312" w:eastAsia="仿宋_GB2312" w:cs="仿宋_GB2312"/>
                <w:sz w:val="24"/>
              </w:rPr>
            </w:pPr>
          </w:p>
        </w:tc>
        <w:tc>
          <w:tcPr>
            <w:tcW w:w="1695" w:type="dxa"/>
            <w:tcBorders>
              <w:top w:val="single" w:color="E68F8A" w:sz="4" w:space="0"/>
              <w:left w:val="single" w:color="E68F8A" w:sz="4" w:space="0"/>
              <w:bottom w:val="single" w:color="E68F8A" w:sz="4" w:space="0"/>
              <w:right w:val="single" w:color="DA554F" w:sz="4" w:space="0"/>
            </w:tcBorders>
            <w:shd w:val="clear" w:color="auto" w:fill="F1CAC2"/>
            <w:vAlign w:val="center"/>
          </w:tcPr>
          <w:p w14:paraId="0349C990">
            <w:pPr>
              <w:spacing w:line="260" w:lineRule="exact"/>
              <w:rPr>
                <w:rFonts w:ascii="仿宋_GB2312" w:hAnsi="仿宋_GB2312" w:eastAsia="仿宋_GB2312" w:cs="仿宋_GB2312"/>
                <w:sz w:val="24"/>
              </w:rPr>
            </w:pPr>
          </w:p>
        </w:tc>
        <w:tc>
          <w:tcPr>
            <w:tcW w:w="1785" w:type="dxa"/>
            <w:tcBorders>
              <w:top w:val="single" w:color="E68F8A" w:sz="4" w:space="0"/>
              <w:left w:val="single" w:color="DA554F" w:sz="4" w:space="0"/>
              <w:bottom w:val="single" w:color="E68F8A" w:sz="4" w:space="0"/>
              <w:right w:val="single" w:color="E68F8A" w:sz="4" w:space="0"/>
            </w:tcBorders>
            <w:shd w:val="clear" w:color="auto" w:fill="FDF7F6"/>
            <w:vAlign w:val="center"/>
          </w:tcPr>
          <w:p w14:paraId="74322C47">
            <w:pPr>
              <w:spacing w:line="260" w:lineRule="exact"/>
              <w:rPr>
                <w:rFonts w:ascii="仿宋_GB2312" w:hAnsi="仿宋_GB2312" w:eastAsia="仿宋_GB2312" w:cs="仿宋_GB2312"/>
                <w:sz w:val="24"/>
              </w:rPr>
            </w:pPr>
          </w:p>
        </w:tc>
        <w:tc>
          <w:tcPr>
            <w:tcW w:w="1626" w:type="dxa"/>
            <w:tcBorders>
              <w:top w:val="single" w:color="E68F8A" w:sz="4" w:space="0"/>
              <w:left w:val="single" w:color="DA554F" w:sz="4" w:space="0"/>
              <w:bottom w:val="single" w:color="E68F8A" w:sz="4" w:space="0"/>
              <w:right w:val="single" w:color="E68F8A" w:sz="4" w:space="0"/>
            </w:tcBorders>
            <w:shd w:val="clear" w:color="auto" w:fill="F1CAC2"/>
          </w:tcPr>
          <w:p w14:paraId="31EBF2E1">
            <w:pPr>
              <w:spacing w:line="260" w:lineRule="exact"/>
              <w:rPr>
                <w:rFonts w:ascii="仿宋_GB2312" w:hAnsi="仿宋_GB2312" w:eastAsia="仿宋_GB2312" w:cs="仿宋_GB2312"/>
                <w:sz w:val="24"/>
              </w:rPr>
            </w:pPr>
          </w:p>
        </w:tc>
      </w:tr>
      <w:tr w14:paraId="722B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570" w:type="dxa"/>
            <w:gridSpan w:val="2"/>
            <w:tcBorders>
              <w:top w:val="single" w:color="E68F8A" w:sz="4" w:space="0"/>
              <w:left w:val="single" w:color="DA554F" w:sz="12" w:space="0"/>
              <w:bottom w:val="single" w:color="DA554F" w:sz="12" w:space="0"/>
              <w:right w:val="single" w:color="E68F8A" w:sz="4" w:space="0"/>
            </w:tcBorders>
            <w:shd w:val="clear" w:color="auto" w:fill="F8E2DD"/>
            <w:vAlign w:val="center"/>
          </w:tcPr>
          <w:p w14:paraId="3A2C24EB">
            <w:pPr>
              <w:spacing w:line="2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得分</w:t>
            </w:r>
            <w:r>
              <w:rPr>
                <w:rFonts w:hint="eastAsia" w:ascii="仿宋_GB2312" w:hAnsi="仿宋_GB2312" w:eastAsia="仿宋_GB2312" w:cs="仿宋_GB2312"/>
                <w:sz w:val="24"/>
              </w:rPr>
              <w:t>：</w:t>
            </w:r>
          </w:p>
        </w:tc>
        <w:tc>
          <w:tcPr>
            <w:tcW w:w="1560" w:type="dxa"/>
            <w:tcBorders>
              <w:top w:val="single" w:color="E68F8A" w:sz="4" w:space="0"/>
              <w:left w:val="single" w:color="E68F8A" w:sz="4" w:space="0"/>
              <w:bottom w:val="single" w:color="DA554F" w:sz="12" w:space="0"/>
              <w:right w:val="single" w:color="E68F8A" w:sz="4" w:space="0"/>
            </w:tcBorders>
            <w:shd w:val="clear" w:color="auto" w:fill="F8E2DD"/>
            <w:vAlign w:val="center"/>
          </w:tcPr>
          <w:p w14:paraId="4C141A50">
            <w:pPr>
              <w:spacing w:line="260" w:lineRule="exact"/>
              <w:rPr>
                <w:rFonts w:ascii="仿宋_GB2312" w:hAnsi="仿宋_GB2312" w:eastAsia="仿宋_GB2312" w:cs="仿宋_GB2312"/>
                <w:sz w:val="24"/>
              </w:rPr>
            </w:pPr>
          </w:p>
        </w:tc>
        <w:tc>
          <w:tcPr>
            <w:tcW w:w="1695" w:type="dxa"/>
            <w:tcBorders>
              <w:top w:val="single" w:color="E68F8A" w:sz="4" w:space="0"/>
              <w:left w:val="single" w:color="E68F8A" w:sz="4" w:space="0"/>
              <w:bottom w:val="single" w:color="DA554F" w:sz="12" w:space="0"/>
              <w:right w:val="single" w:color="E68F8A" w:sz="4" w:space="0"/>
            </w:tcBorders>
            <w:shd w:val="clear" w:color="auto" w:fill="F8E2DD"/>
            <w:vAlign w:val="center"/>
          </w:tcPr>
          <w:p w14:paraId="5D10733F">
            <w:pPr>
              <w:spacing w:line="260" w:lineRule="exact"/>
              <w:rPr>
                <w:rFonts w:ascii="仿宋_GB2312" w:hAnsi="仿宋_GB2312" w:eastAsia="仿宋_GB2312" w:cs="仿宋_GB2312"/>
                <w:sz w:val="24"/>
              </w:rPr>
            </w:pPr>
          </w:p>
        </w:tc>
        <w:tc>
          <w:tcPr>
            <w:tcW w:w="1785" w:type="dxa"/>
            <w:tcBorders>
              <w:top w:val="single" w:color="E68F8A" w:sz="4" w:space="0"/>
              <w:left w:val="single" w:color="E68F8A" w:sz="4" w:space="0"/>
              <w:bottom w:val="single" w:color="DA554F" w:sz="12" w:space="0"/>
              <w:right w:val="single" w:color="DA554F" w:sz="4" w:space="0"/>
            </w:tcBorders>
            <w:shd w:val="clear" w:color="auto" w:fill="F8E2DD"/>
            <w:vAlign w:val="center"/>
          </w:tcPr>
          <w:p w14:paraId="37E59347">
            <w:pPr>
              <w:spacing w:line="260" w:lineRule="exact"/>
              <w:rPr>
                <w:rFonts w:ascii="仿宋_GB2312" w:hAnsi="仿宋_GB2312" w:eastAsia="仿宋_GB2312" w:cs="仿宋_GB2312"/>
                <w:sz w:val="24"/>
              </w:rPr>
            </w:pPr>
          </w:p>
        </w:tc>
        <w:tc>
          <w:tcPr>
            <w:tcW w:w="1626" w:type="dxa"/>
            <w:tcBorders>
              <w:top w:val="single" w:color="E68F8A" w:sz="4" w:space="0"/>
              <w:left w:val="single" w:color="E68F8A" w:sz="4" w:space="0"/>
              <w:bottom w:val="single" w:color="DA554F" w:sz="12" w:space="0"/>
              <w:right w:val="single" w:color="DA554F" w:sz="4" w:space="0"/>
            </w:tcBorders>
            <w:shd w:val="clear" w:color="auto" w:fill="F8E2DD"/>
          </w:tcPr>
          <w:p w14:paraId="176A76CD">
            <w:pPr>
              <w:spacing w:line="260" w:lineRule="exact"/>
              <w:rPr>
                <w:rFonts w:ascii="仿宋_GB2312" w:hAnsi="仿宋_GB2312" w:eastAsia="仿宋_GB2312" w:cs="仿宋_GB2312"/>
                <w:sz w:val="24"/>
              </w:rPr>
            </w:pPr>
          </w:p>
        </w:tc>
      </w:tr>
    </w:tbl>
    <w:p w14:paraId="338C3E49">
      <w:pPr>
        <w:jc w:val="left"/>
        <w:rPr>
          <w:rFonts w:hint="eastAsia"/>
          <w:b/>
          <w:bCs/>
          <w:sz w:val="30"/>
          <w:szCs w:val="30"/>
          <w:lang w:val="en-US" w:eastAsia="zh-CN"/>
        </w:rPr>
      </w:pPr>
    </w:p>
    <w:p w14:paraId="6B123A5F">
      <w:pPr>
        <w:jc w:val="left"/>
        <w:rPr>
          <w:rFonts w:hint="eastAsia"/>
          <w:b/>
          <w:bCs/>
          <w:sz w:val="30"/>
          <w:szCs w:val="30"/>
          <w:lang w:val="en-US" w:eastAsia="zh-CN"/>
        </w:rPr>
      </w:pPr>
      <w:r>
        <w:rPr>
          <w:rFonts w:hint="eastAsia"/>
          <w:b/>
          <w:bCs/>
          <w:sz w:val="30"/>
          <w:szCs w:val="30"/>
          <w:lang w:val="en-US" w:eastAsia="zh-CN"/>
        </w:rPr>
        <w:t>附件2：</w:t>
      </w:r>
    </w:p>
    <w:p w14:paraId="541CC9A6">
      <w:pPr>
        <w:spacing w:line="360" w:lineRule="auto"/>
        <w:ind w:firstLine="301" w:firstLineChars="100"/>
        <w:rPr>
          <w:rFonts w:hint="eastAsia" w:ascii="仿宋_GB2312" w:hAnsi="宋体" w:eastAsia="仿宋_GB2312"/>
          <w:sz w:val="30"/>
          <w:szCs w:val="30"/>
        </w:rPr>
      </w:pPr>
      <w:r>
        <w:rPr>
          <w:rFonts w:hint="eastAsia" w:ascii="仿宋_GB2312" w:hAnsi="宋体" w:eastAsia="仿宋_GB2312"/>
          <w:b/>
          <w:bCs/>
          <w:sz w:val="30"/>
          <w:szCs w:val="30"/>
        </w:rPr>
        <w:t>一、谈判须知</w:t>
      </w:r>
    </w:p>
    <w:p w14:paraId="5599AF57">
      <w:pPr>
        <w:spacing w:line="360" w:lineRule="auto"/>
        <w:ind w:left="560"/>
        <w:rPr>
          <w:rFonts w:hint="eastAsia" w:ascii="仿宋_GB2312" w:hAnsi="宋体" w:eastAsia="仿宋_GB2312"/>
          <w:sz w:val="30"/>
          <w:szCs w:val="30"/>
        </w:rPr>
      </w:pPr>
      <w:r>
        <w:rPr>
          <w:rFonts w:hint="eastAsia" w:ascii="仿宋_GB2312" w:hAnsi="宋体" w:eastAsia="仿宋_GB2312"/>
          <w:sz w:val="30"/>
          <w:szCs w:val="30"/>
        </w:rPr>
        <w:t>1、工程说明</w:t>
      </w:r>
    </w:p>
    <w:p w14:paraId="668465E6">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1.1  工程名称：</w:t>
      </w:r>
      <w:r>
        <w:rPr>
          <w:rFonts w:hint="eastAsia" w:ascii="仿宋_GB2312" w:hAnsi="宋体" w:eastAsia="仿宋_GB2312"/>
          <w:b/>
          <w:sz w:val="30"/>
          <w:szCs w:val="30"/>
        </w:rPr>
        <w:t>贵州航天医院胃镜室维修改造项目</w:t>
      </w:r>
    </w:p>
    <w:p w14:paraId="7E147D4F">
      <w:pPr>
        <w:spacing w:line="360" w:lineRule="auto"/>
        <w:ind w:firstLine="576" w:firstLineChars="192"/>
        <w:rPr>
          <w:rFonts w:hint="eastAsia" w:ascii="仿宋_GB2312" w:hAnsi="宋体" w:eastAsia="仿宋_GB2312"/>
          <w:sz w:val="30"/>
          <w:szCs w:val="30"/>
        </w:rPr>
      </w:pPr>
      <w:r>
        <w:rPr>
          <w:rFonts w:hint="eastAsia" w:ascii="仿宋_GB2312" w:hAnsi="宋体" w:eastAsia="仿宋_GB2312"/>
          <w:sz w:val="30"/>
          <w:szCs w:val="30"/>
        </w:rPr>
        <w:t>1.2　本工程按照贵州航天医院的相关规定，通过竞争性磋商来选定施工单位。</w:t>
      </w:r>
    </w:p>
    <w:p w14:paraId="4BAD9433">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1.3　资金来源：自筹资金</w:t>
      </w:r>
    </w:p>
    <w:p w14:paraId="658E02D3">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1.4　询价费用：投标单位在投标过程中产生的一切费用自理。</w:t>
      </w:r>
    </w:p>
    <w:p w14:paraId="09467428">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1.5、本工程质量要求：质量为合格。</w:t>
      </w:r>
    </w:p>
    <w:p w14:paraId="67A99F71">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1.6、本工程工期要求：总工期3个月，签定合同之日起计算。</w:t>
      </w:r>
    </w:p>
    <w:p w14:paraId="4B4FB13B">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1.7、本工程的发包方式：包工包料</w:t>
      </w:r>
    </w:p>
    <w:p w14:paraId="73F2FA71">
      <w:pPr>
        <w:spacing w:line="360" w:lineRule="auto"/>
        <w:ind w:firstLine="600" w:firstLineChars="200"/>
        <w:rPr>
          <w:rFonts w:hint="eastAsia" w:ascii="楷体_GB2312" w:eastAsia="楷体_GB2312"/>
          <w:sz w:val="30"/>
          <w:szCs w:val="30"/>
        </w:rPr>
      </w:pPr>
      <w:r>
        <w:rPr>
          <w:rFonts w:hint="eastAsia" w:ascii="楷体_GB2312" w:eastAsia="楷体_GB2312"/>
          <w:sz w:val="30"/>
          <w:szCs w:val="30"/>
        </w:rPr>
        <w:t>1.8、踏勘现场时间：不集中组织，投标单位自行踏勘现场；</w:t>
      </w:r>
    </w:p>
    <w:p w14:paraId="4FEAD8DC">
      <w:pPr>
        <w:spacing w:line="360" w:lineRule="auto"/>
        <w:ind w:firstLine="600" w:firstLineChars="200"/>
        <w:rPr>
          <w:rFonts w:hint="eastAsia" w:ascii="仿宋_GB2312" w:hAnsi="宋体" w:eastAsia="仿宋_GB2312"/>
          <w:sz w:val="30"/>
          <w:szCs w:val="30"/>
        </w:rPr>
      </w:pPr>
      <w:r>
        <w:rPr>
          <w:rFonts w:hint="eastAsia" w:ascii="楷体_GB2312" w:eastAsia="楷体_GB2312"/>
          <w:sz w:val="30"/>
          <w:szCs w:val="30"/>
        </w:rPr>
        <w:t>1.9、询价答疑：请各单位于现场踏勘后竞争性磋商开标前三天内将书面询价疑问书交到贵州航天医院项目办。</w:t>
      </w:r>
    </w:p>
    <w:p w14:paraId="2360E0CC">
      <w:pPr>
        <w:spacing w:line="360" w:lineRule="auto"/>
        <w:rPr>
          <w:rFonts w:hint="eastAsia" w:ascii="仿宋_GB2312" w:eastAsia="仿宋_GB2312"/>
          <w:sz w:val="30"/>
          <w:szCs w:val="30"/>
        </w:rPr>
      </w:pPr>
    </w:p>
    <w:p w14:paraId="76724E8F">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2、报价说明</w:t>
      </w:r>
    </w:p>
    <w:p w14:paraId="525198CA">
      <w:pPr>
        <w:spacing w:line="360" w:lineRule="auto"/>
        <w:ind w:firstLine="600" w:firstLineChars="200"/>
        <w:rPr>
          <w:rFonts w:ascii="仿宋_GB2312" w:eastAsia="仿宋_GB2312"/>
          <w:sz w:val="30"/>
          <w:szCs w:val="30"/>
        </w:rPr>
      </w:pPr>
      <w:r>
        <w:rPr>
          <w:rFonts w:hint="eastAsia" w:ascii="仿宋_GB2312" w:eastAsia="仿宋_GB2312"/>
          <w:sz w:val="30"/>
          <w:szCs w:val="30"/>
        </w:rPr>
        <w:t>2.1　</w:t>
      </w:r>
      <w:r>
        <w:rPr>
          <w:rFonts w:hint="eastAsia" w:ascii="仿宋_GB2312" w:eastAsia="仿宋_GB2312"/>
          <w:b/>
          <w:bCs/>
          <w:sz w:val="30"/>
          <w:szCs w:val="30"/>
        </w:rPr>
        <w:t>本工程拦标价为59.7万元整；</w:t>
      </w:r>
      <w:r>
        <w:rPr>
          <w:rFonts w:hint="eastAsia" w:ascii="仿宋_GB2312" w:eastAsia="仿宋_GB2312"/>
          <w:sz w:val="30"/>
          <w:szCs w:val="30"/>
        </w:rPr>
        <w:t>投标单位投标价格应完成胃镜室维修改造项目施工图及工程量清单范围规定的全部工程内容的各项费用的总和；</w:t>
      </w:r>
    </w:p>
    <w:p w14:paraId="1741D898">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2.2　本工程谈判文件的工程量按照胃镜室维修改造施工图及工程量清单。报价为此谈判文件范围的全部内容，包含各种措施费，报价中的漏算、错算均由投标人负责，中标后不作调整。</w:t>
      </w:r>
    </w:p>
    <w:p w14:paraId="4D4B3644">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2.3　投标文件报价的计算依据：投标单位应根据贵州省16定额及相关调差文件并结合市场价、自身情况自行进行测算报价。并考虑施工期间物价变动的因素一次进入投标总价。中标后不作任何调整。</w:t>
      </w:r>
    </w:p>
    <w:p w14:paraId="2428F83B">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2.4 按照规定应该计取的费用而未计取视为投标人自动优惠给招标人，在投标文件中应计取的费用因不清楚而又不在答疑中提出，并且未计取的均视为包含在投标人的总报价内。</w:t>
      </w:r>
    </w:p>
    <w:p w14:paraId="3EE4F683">
      <w:pPr>
        <w:spacing w:line="360" w:lineRule="auto"/>
        <w:ind w:firstLine="600" w:firstLineChars="200"/>
        <w:rPr>
          <w:rFonts w:hint="eastAsia" w:ascii="仿宋_GB2312" w:eastAsia="仿宋_GB2312"/>
          <w:sz w:val="30"/>
          <w:szCs w:val="30"/>
        </w:rPr>
      </w:pPr>
    </w:p>
    <w:p w14:paraId="756AFE29">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3　谈判文件的编制</w:t>
      </w:r>
    </w:p>
    <w:p w14:paraId="7795C512">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3.1　竞争性谈判文件语言：招标文件及投标人与招标人之间与竞争性谈判有关的来往通知，函件和文件均使用中文。</w:t>
      </w:r>
    </w:p>
    <w:p w14:paraId="38A66B7B">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3.2　竞争性谈判文件的组成</w:t>
      </w:r>
    </w:p>
    <w:p w14:paraId="2B6F0AE1">
      <w:pPr>
        <w:spacing w:line="360" w:lineRule="auto"/>
        <w:ind w:firstLine="600" w:firstLineChars="200"/>
        <w:rPr>
          <w:rFonts w:ascii="仿宋_GB2312" w:eastAsia="仿宋_GB2312"/>
          <w:sz w:val="30"/>
          <w:szCs w:val="30"/>
        </w:rPr>
      </w:pPr>
      <w:r>
        <w:rPr>
          <w:rFonts w:hint="eastAsia" w:ascii="仿宋_GB2312" w:eastAsia="仿宋_GB2312"/>
          <w:sz w:val="30"/>
          <w:szCs w:val="30"/>
        </w:rPr>
        <w:t>3.2.1企业法人营业执照、资质证书、安全生产许可证、承担本项目的项目经理二级建筑工程专业注册建造师证书.施工方案，工程案例等。</w:t>
      </w:r>
    </w:p>
    <w:p w14:paraId="301B8C6C">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3.2.2报价书、工程造价预算书、工程报价汇总表等内容。整个投标文件为一个密封包装。</w:t>
      </w:r>
    </w:p>
    <w:p w14:paraId="3718D241">
      <w:pPr>
        <w:spacing w:line="360" w:lineRule="auto"/>
        <w:ind w:firstLine="576" w:firstLineChars="192"/>
        <w:jc w:val="center"/>
        <w:rPr>
          <w:rFonts w:hint="eastAsia" w:ascii="仿宋_GB2312" w:hAnsi="宋体" w:eastAsia="仿宋_GB2312"/>
          <w:sz w:val="30"/>
          <w:szCs w:val="30"/>
        </w:rPr>
      </w:pPr>
    </w:p>
    <w:p w14:paraId="3AC4EDC9">
      <w:pPr>
        <w:spacing w:line="360" w:lineRule="auto"/>
        <w:ind w:firstLine="602" w:firstLineChars="200"/>
        <w:rPr>
          <w:rFonts w:hint="eastAsia" w:ascii="仿宋_GB2312" w:hAnsi="宋体" w:eastAsia="仿宋_GB2312"/>
          <w:b/>
          <w:bCs/>
          <w:sz w:val="30"/>
          <w:szCs w:val="30"/>
        </w:rPr>
      </w:pPr>
      <w:r>
        <w:rPr>
          <w:rFonts w:hint="eastAsia" w:ascii="仿宋_GB2312" w:hAnsi="宋体" w:eastAsia="仿宋_GB2312"/>
          <w:b/>
          <w:bCs/>
          <w:sz w:val="30"/>
          <w:szCs w:val="30"/>
        </w:rPr>
        <w:t>二、竞争性谈判范围</w:t>
      </w:r>
    </w:p>
    <w:p w14:paraId="6E110CE7">
      <w:pPr>
        <w:rPr>
          <w:rFonts w:hint="eastAsia" w:ascii="仿宋_GB2312" w:eastAsia="仿宋_GB2312"/>
          <w:sz w:val="30"/>
          <w:szCs w:val="30"/>
        </w:rPr>
      </w:pPr>
      <w:r>
        <w:rPr>
          <w:rFonts w:hint="eastAsia" w:ascii="仿宋_GB2312" w:eastAsia="仿宋_GB2312"/>
          <w:sz w:val="30"/>
          <w:szCs w:val="30"/>
        </w:rPr>
        <w:t xml:space="preserve">  </w:t>
      </w:r>
    </w:p>
    <w:p w14:paraId="7B94A32A">
      <w:pPr>
        <w:rPr>
          <w:rFonts w:ascii="仿宋_GB2312" w:eastAsia="仿宋_GB2312"/>
          <w:b/>
          <w:bCs/>
          <w:sz w:val="30"/>
          <w:szCs w:val="30"/>
        </w:rPr>
      </w:pPr>
      <w:r>
        <w:rPr>
          <w:rFonts w:hint="eastAsia" w:ascii="仿宋_GB2312" w:eastAsia="仿宋_GB2312"/>
          <w:sz w:val="30"/>
          <w:szCs w:val="30"/>
        </w:rPr>
        <w:t xml:space="preserve">  </w:t>
      </w:r>
      <w:r>
        <w:rPr>
          <w:rFonts w:hint="eastAsia" w:ascii="仿宋_GB2312" w:eastAsia="仿宋_GB2312"/>
          <w:b/>
          <w:bCs/>
          <w:sz w:val="30"/>
          <w:szCs w:val="30"/>
        </w:rPr>
        <w:t xml:space="preserve"> </w:t>
      </w:r>
      <w:r>
        <w:rPr>
          <w:rFonts w:hint="eastAsia" w:ascii="仿宋_GB2312" w:eastAsia="仿宋_GB2312"/>
          <w:sz w:val="30"/>
          <w:szCs w:val="30"/>
        </w:rPr>
        <w:t>贵州航天医院胃镜室维修改造项目施工图及工程量清单。</w:t>
      </w:r>
      <w:bookmarkStart w:id="0" w:name="_GoBack"/>
      <w:bookmarkEnd w:id="0"/>
      <w:r>
        <w:rPr>
          <w:rFonts w:hint="eastAsia" w:ascii="仿宋_GB2312" w:eastAsia="仿宋_GB2312"/>
          <w:b/>
          <w:bCs/>
          <w:sz w:val="30"/>
          <w:szCs w:val="30"/>
        </w:rPr>
        <w:t>　</w:t>
      </w:r>
    </w:p>
    <w:p w14:paraId="44E39D74">
      <w:pPr>
        <w:spacing w:line="360" w:lineRule="auto"/>
        <w:ind w:firstLine="602" w:firstLineChars="200"/>
        <w:rPr>
          <w:rFonts w:hint="eastAsia" w:ascii="仿宋_GB2312" w:hAnsi="宋体" w:eastAsia="仿宋_GB2312"/>
          <w:b/>
          <w:bCs/>
          <w:sz w:val="30"/>
          <w:szCs w:val="30"/>
        </w:rPr>
      </w:pPr>
    </w:p>
    <w:p w14:paraId="6E3BBBF1">
      <w:pPr>
        <w:spacing w:line="360" w:lineRule="auto"/>
        <w:ind w:firstLine="602" w:firstLineChars="200"/>
        <w:rPr>
          <w:rFonts w:hint="eastAsia" w:ascii="仿宋_GB2312" w:hAnsi="宋体" w:eastAsia="仿宋_GB2312"/>
          <w:b/>
          <w:bCs/>
          <w:sz w:val="30"/>
          <w:szCs w:val="30"/>
        </w:rPr>
      </w:pPr>
      <w:r>
        <w:rPr>
          <w:rFonts w:hint="eastAsia" w:ascii="仿宋_GB2312" w:hAnsi="宋体" w:eastAsia="仿宋_GB2312"/>
          <w:b/>
          <w:bCs/>
          <w:sz w:val="30"/>
          <w:szCs w:val="30"/>
        </w:rPr>
        <w:t>三、 合同一般条款</w:t>
      </w:r>
    </w:p>
    <w:p w14:paraId="432FBFF3">
      <w:pPr>
        <w:spacing w:line="360" w:lineRule="auto"/>
        <w:ind w:firstLine="602" w:firstLineChars="200"/>
        <w:rPr>
          <w:rFonts w:hint="eastAsia" w:ascii="仿宋_GB2312" w:hAnsi="宋体" w:eastAsia="仿宋_GB2312"/>
          <w:b/>
          <w:bCs/>
          <w:sz w:val="30"/>
          <w:szCs w:val="30"/>
        </w:rPr>
      </w:pPr>
      <w:r>
        <w:rPr>
          <w:rFonts w:hint="eastAsia" w:ascii="仿宋_GB2312" w:hAnsi="宋体" w:eastAsia="仿宋_GB2312"/>
          <w:b/>
          <w:bCs/>
          <w:sz w:val="30"/>
          <w:szCs w:val="30"/>
        </w:rPr>
        <w:t>合同价款：完成招标范围内设计图内容的中标报价一次性包干。</w:t>
      </w:r>
    </w:p>
    <w:p w14:paraId="2C181485">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决算方式：合同包干价。</w:t>
      </w:r>
    </w:p>
    <w:p w14:paraId="1C5666A2">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费用支付：工程验收合格后支付97%，剩余3%质保期结束后支付。</w:t>
      </w:r>
    </w:p>
    <w:p w14:paraId="6F7E4013">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工期奖罚：工期提前不给奖励。因乙方的原因造成延误工期的，罚款以每天500元计算，总额不超过合同价的10%。</w:t>
      </w:r>
    </w:p>
    <w:p w14:paraId="7E53487B">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质量等级要求：工程质量必须按国家现行评定标准达到合格及以上。若达不到罚工程合同价的1%，并视为中标单位违约。</w:t>
      </w:r>
    </w:p>
    <w:p w14:paraId="2E68D467">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设计变更：必须经甲方两人以上的签字认可的设计变更为有效变更，变更价款按标书预算单价计算。标书中无此内容的按相似工程内容单价计算方法核算单价计算。</w:t>
      </w:r>
    </w:p>
    <w:p w14:paraId="0F02134C">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质保期限：2年。</w:t>
      </w:r>
    </w:p>
    <w:p w14:paraId="7255230D">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工程分包：乙方不准分包。</w:t>
      </w:r>
    </w:p>
    <w:p w14:paraId="352F9D72">
      <w:pPr>
        <w:ind w:firstLine="600" w:firstLineChars="200"/>
        <w:rPr>
          <w:rFonts w:hint="eastAsia" w:ascii="仿宋" w:hAnsi="仿宋" w:eastAsia="仿宋"/>
          <w:sz w:val="30"/>
          <w:szCs w:val="30"/>
        </w:rPr>
      </w:pPr>
      <w:r>
        <w:rPr>
          <w:rFonts w:hint="eastAsia" w:ascii="仿宋_GB2312" w:hAnsi="宋体" w:eastAsia="仿宋_GB2312"/>
          <w:sz w:val="30"/>
          <w:szCs w:val="30"/>
        </w:rPr>
        <w:t>违约：中标单位不能履行合同或招标文件约定的确认违约条件或不能满足工程质量、工期要求则确认为中标单位违约，违约造成的损失按照直接损失和可以预见的损失计算，由乙方负责赔偿。</w:t>
      </w:r>
    </w:p>
    <w:p w14:paraId="2F1384E0">
      <w:pPr>
        <w:pStyle w:val="17"/>
        <w:pageBreakBefore w:val="0"/>
        <w:numPr>
          <w:ilvl w:val="0"/>
          <w:numId w:val="0"/>
        </w:numPr>
        <w:kinsoku/>
        <w:wordWrap/>
        <w:overflowPunct/>
        <w:topLinePunct w:val="0"/>
        <w:autoSpaceDE/>
        <w:autoSpaceDN/>
        <w:bidi w:val="0"/>
        <w:adjustRightInd/>
        <w:snapToGrid/>
        <w:ind w:firstLine="48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BB574E9"/>
    <w:rsid w:val="0DF72211"/>
    <w:rsid w:val="0F227162"/>
    <w:rsid w:val="0FE13788"/>
    <w:rsid w:val="0FF705D0"/>
    <w:rsid w:val="10A62A18"/>
    <w:rsid w:val="16373051"/>
    <w:rsid w:val="165E7E7E"/>
    <w:rsid w:val="1A120022"/>
    <w:rsid w:val="1AE22727"/>
    <w:rsid w:val="1C042A1F"/>
    <w:rsid w:val="1C915908"/>
    <w:rsid w:val="20784C33"/>
    <w:rsid w:val="222F59A7"/>
    <w:rsid w:val="24D2209E"/>
    <w:rsid w:val="26AF70B6"/>
    <w:rsid w:val="26B72AA4"/>
    <w:rsid w:val="2B202C91"/>
    <w:rsid w:val="2D684463"/>
    <w:rsid w:val="2D7D23EE"/>
    <w:rsid w:val="2DF60F5E"/>
    <w:rsid w:val="2F257DA7"/>
    <w:rsid w:val="2F80457E"/>
    <w:rsid w:val="309774C6"/>
    <w:rsid w:val="349E5471"/>
    <w:rsid w:val="38D526E1"/>
    <w:rsid w:val="394B75AF"/>
    <w:rsid w:val="3C2B5111"/>
    <w:rsid w:val="3DA7680A"/>
    <w:rsid w:val="3EBB4364"/>
    <w:rsid w:val="424F55A4"/>
    <w:rsid w:val="461E3079"/>
    <w:rsid w:val="46A139FD"/>
    <w:rsid w:val="481007AD"/>
    <w:rsid w:val="49E17296"/>
    <w:rsid w:val="4AC86916"/>
    <w:rsid w:val="4D8E366A"/>
    <w:rsid w:val="4E8C54B1"/>
    <w:rsid w:val="4EC10F8B"/>
    <w:rsid w:val="4EDA651C"/>
    <w:rsid w:val="4FA749BF"/>
    <w:rsid w:val="4FDE15A9"/>
    <w:rsid w:val="503C735D"/>
    <w:rsid w:val="50D31676"/>
    <w:rsid w:val="51051655"/>
    <w:rsid w:val="51277097"/>
    <w:rsid w:val="51983E64"/>
    <w:rsid w:val="52816664"/>
    <w:rsid w:val="52A05BEE"/>
    <w:rsid w:val="52A13E2E"/>
    <w:rsid w:val="54D97240"/>
    <w:rsid w:val="59D83304"/>
    <w:rsid w:val="5BE56AFB"/>
    <w:rsid w:val="60F65306"/>
    <w:rsid w:val="63B25E95"/>
    <w:rsid w:val="6523006D"/>
    <w:rsid w:val="657A75C8"/>
    <w:rsid w:val="6604073B"/>
    <w:rsid w:val="66102866"/>
    <w:rsid w:val="66D31996"/>
    <w:rsid w:val="688F3EA6"/>
    <w:rsid w:val="69887333"/>
    <w:rsid w:val="69F824A3"/>
    <w:rsid w:val="6A454942"/>
    <w:rsid w:val="6B3A2A32"/>
    <w:rsid w:val="6B6A0DCB"/>
    <w:rsid w:val="6CFB554B"/>
    <w:rsid w:val="6DD4443F"/>
    <w:rsid w:val="6F5349A1"/>
    <w:rsid w:val="719F1EF7"/>
    <w:rsid w:val="72212F9D"/>
    <w:rsid w:val="73075151"/>
    <w:rsid w:val="75A27EE8"/>
    <w:rsid w:val="782E6441"/>
    <w:rsid w:val="7BB3231A"/>
    <w:rsid w:val="7BC07DBF"/>
    <w:rsid w:val="7D3B1B2A"/>
    <w:rsid w:val="7F2006B1"/>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4"/>
    <w:autoRedefine/>
    <w:qFormat/>
    <w:uiPriority w:val="0"/>
    <w:pPr>
      <w:tabs>
        <w:tab w:val="center" w:pos="4513"/>
        <w:tab w:val="right" w:pos="9026"/>
      </w:tabs>
      <w:snapToGrid w:val="0"/>
      <w:jc w:val="left"/>
    </w:pPr>
    <w:rPr>
      <w:sz w:val="18"/>
      <w:szCs w:val="18"/>
    </w:rPr>
  </w:style>
  <w:style w:type="paragraph" w:styleId="11">
    <w:name w:val="header"/>
    <w:basedOn w:val="1"/>
    <w:link w:val="23"/>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customStyle="1" w:styleId="18">
    <w:name w:val="1"/>
    <w:basedOn w:val="1"/>
    <w:next w:val="8"/>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6"/>
    <w:link w:val="11"/>
    <w:autoRedefine/>
    <w:qFormat/>
    <w:uiPriority w:val="0"/>
    <w:rPr>
      <w:rFonts w:ascii="Calibri" w:hAnsi="Calibri" w:eastAsia="宋体" w:cs="Times New Roman"/>
      <w:kern w:val="2"/>
      <w:sz w:val="18"/>
      <w:szCs w:val="18"/>
    </w:rPr>
  </w:style>
  <w:style w:type="character" w:customStyle="1" w:styleId="24">
    <w:name w:val="页脚 字符"/>
    <w:basedOn w:val="16"/>
    <w:link w:val="10"/>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6"/>
    <w:link w:val="3"/>
    <w:autoRedefine/>
    <w:qFormat/>
    <w:uiPriority w:val="9"/>
    <w:rPr>
      <w:rFonts w:ascii="Arial" w:hAnsi="Arial" w:eastAsia="黑体"/>
      <w:b/>
      <w:bCs/>
      <w:sz w:val="32"/>
      <w:szCs w:val="32"/>
    </w:rPr>
  </w:style>
  <w:style w:type="paragraph" w:customStyle="1" w:styleId="34">
    <w:name w:val="表格标题"/>
    <w:basedOn w:val="1"/>
    <w:qFormat/>
    <w:uiPriority w:val="0"/>
    <w:pPr>
      <w:jc w:val="center"/>
    </w:pPr>
    <w:rPr>
      <w:rFonts w:eastAsia="仿宋_GB2312"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2351</Words>
  <Characters>2484</Characters>
  <Lines>8</Lines>
  <Paragraphs>2</Paragraphs>
  <TotalTime>2</TotalTime>
  <ScaleCrop>false</ScaleCrop>
  <LinksUpToDate>false</LinksUpToDate>
  <CharactersWithSpaces>2579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2025-08-07T01:50:43Z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73E2358E0465456CB3704D92857F3E21_13</vt:lpwstr>
  </property>
  <property fmtid="{D5CDD505-2E9C-101B-9397-08002B2CF9AE}" pid="4" name="KSOTemplateDocerSaveRecord">
    <vt:lpwstr>eyJoZGlkIjoiZTYyMDczZGRhZjNiZjg5MTJhMWY4ZmJkZjE0ODlhZjQiLCJ1c2VySWQiOiIyNzE2NTk1MjcifQ==</vt:lpwstr>
  </property>
</Properties>
</file>