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820" w:hRule="atLeast"/>
          <w:jc w:val="center"/>
        </w:trPr>
        <w:tc>
          <w:tcPr>
            <w:tcW w:w="5000" w:type="pct"/>
            <w:tcBorders>
              <w:top w:val="nil"/>
              <w:left w:val="nil"/>
              <w:bottom w:val="nil"/>
              <w:right w:val="nil"/>
            </w:tcBorders>
            <w:noWrap/>
            <w:vAlign w:val="center"/>
          </w:tcPr>
          <w:p w14:paraId="021B3C5C">
            <w:pPr>
              <w:widowControl/>
              <w:jc w:val="center"/>
              <w:textAlignment w:val="center"/>
              <w:rPr>
                <w:rFonts w:hint="default" w:ascii="FangSong_GB2312" w:hAnsi="FangSong_GB2312" w:eastAsia="FangSong_GB2312" w:cs="FangSong_GB2312"/>
                <w:b/>
                <w:bCs/>
                <w:color w:val="000000"/>
                <w:sz w:val="24"/>
                <w:lang w:val="en-US" w:eastAsia="zh-CN"/>
              </w:rPr>
            </w:pPr>
            <w:r>
              <w:rPr>
                <w:rFonts w:hint="eastAsia" w:ascii="FangSong_GB2312" w:hAnsi="FangSong_GB2312" w:eastAsia="FangSong_GB2312" w:cs="FangSong_GB2312"/>
                <w:b/>
                <w:bCs/>
                <w:color w:val="000000"/>
                <w:kern w:val="0"/>
                <w:sz w:val="28"/>
                <w:szCs w:val="28"/>
                <w:lang w:bidi="ar"/>
              </w:rPr>
              <w:t>贵州航天医院竞争性磋商公告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keepNext w:val="0"/>
              <w:keepLines w:val="0"/>
              <w:widowControl/>
              <w:suppressLineNumbers w:val="0"/>
              <w:jc w:val="left"/>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项目名称：贵州航天医院</w:t>
            </w:r>
            <w:r>
              <w:rPr>
                <w:rFonts w:hint="eastAsia" w:ascii="FangSong_GB2312" w:hAnsi="FangSong_GB2312" w:eastAsia="FangSong_GB2312" w:cs="FangSong_GB2312"/>
                <w:color w:val="000000"/>
                <w:kern w:val="0"/>
                <w:sz w:val="24"/>
                <w:lang w:eastAsia="zh-CN" w:bidi="ar"/>
              </w:rPr>
              <w:t>西门子</w:t>
            </w:r>
            <w:r>
              <w:rPr>
                <w:rFonts w:hint="eastAsia" w:ascii="FangSong_GB2312" w:hAnsi="FangSong_GB2312" w:eastAsia="FangSong_GB2312" w:cs="FangSong_GB2312"/>
                <w:color w:val="000000"/>
                <w:kern w:val="0"/>
                <w:sz w:val="24"/>
                <w:lang w:val="en-US" w:eastAsia="zh-CN" w:bidi="ar"/>
              </w:rPr>
              <w:t>1.5T</w:t>
            </w:r>
            <w:r>
              <w:rPr>
                <w:rFonts w:hint="eastAsia" w:ascii="FangSong_GB2312" w:hAnsi="FangSong_GB2312" w:eastAsia="FangSong_GB2312" w:cs="FangSong_GB2312"/>
                <w:color w:val="000000"/>
                <w:kern w:val="0"/>
                <w:sz w:val="24"/>
                <w:lang w:bidi="ar"/>
              </w:rPr>
              <w:t>核磁共振维保服务</w:t>
            </w:r>
            <w:r>
              <w:rPr>
                <w:rFonts w:hint="eastAsia" w:ascii="FangSong_GB2312" w:hAnsi="FangSong_GB2312" w:eastAsia="FangSong_GB2312" w:cs="FangSong_GB2312"/>
                <w:color w:val="000000"/>
                <w:kern w:val="0"/>
                <w:sz w:val="24"/>
                <w:lang w:val="en-US" w:eastAsia="zh-CN" w:bidi="ar"/>
              </w:rPr>
              <w:t>采购</w:t>
            </w:r>
            <w:r>
              <w:rPr>
                <w:rFonts w:hint="eastAsia" w:ascii="FangSong_GB2312" w:hAnsi="FangSong_GB2312" w:eastAsia="FangSong_GB2312" w:cs="FangSong_GB2312"/>
                <w:color w:val="000000"/>
                <w:kern w:val="0"/>
                <w:sz w:val="24"/>
                <w:lang w:bidi="ar"/>
              </w:rPr>
              <w:t>项目</w:t>
            </w:r>
          </w:p>
        </w:tc>
      </w:tr>
      <w:tr w14:paraId="4746C0D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9619D9C">
            <w:pPr>
              <w:widowControl/>
              <w:jc w:val="left"/>
              <w:textAlignment w:val="center"/>
              <w:rPr>
                <w:rFonts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采购方式：竞争性磋商</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13588DEB">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29万/年</w:t>
            </w:r>
          </w:p>
        </w:tc>
      </w:tr>
      <w:tr w14:paraId="02D50DE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ADB5180">
            <w:pPr>
              <w:widowControl/>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 xml:space="preserve">    最高限价：</w:t>
            </w:r>
            <w:r>
              <w:rPr>
                <w:rFonts w:hint="eastAsia" w:ascii="FangSong_GB2312" w:hAnsi="FangSong_GB2312" w:eastAsia="FangSong_GB2312" w:cs="FangSong_GB2312"/>
                <w:color w:val="000000"/>
                <w:kern w:val="0"/>
                <w:sz w:val="24"/>
                <w:lang w:val="en-US" w:eastAsia="zh-CN" w:bidi="ar"/>
              </w:rPr>
              <w:t>29万/年</w:t>
            </w:r>
          </w:p>
        </w:tc>
      </w:tr>
      <w:tr w14:paraId="07E585D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320AE93">
            <w:pPr>
              <w:pStyle w:val="21"/>
              <w:ind w:firstLine="480" w:firstLineChars="200"/>
              <w:rPr>
                <w:rFonts w:hint="default"/>
                <w:lang w:val="en-US" w:eastAsia="zh-CN"/>
              </w:rPr>
            </w:pPr>
            <w:r>
              <w:rPr>
                <w:rFonts w:eastAsia="FangSong_GB2312" w:asciiTheme="minorHAnsi" w:hAnsiTheme="minorHAnsi" w:cstheme="minorHAnsi"/>
                <w:lang w:bidi="ar"/>
              </w:rPr>
              <w:t>采购需求：</w:t>
            </w:r>
            <w:r>
              <w:rPr>
                <w:rFonts w:hint="eastAsia" w:ascii="FangSong_GB2312" w:hAnsi="FangSong_GB2312" w:eastAsia="FangSong_GB2312" w:cs="FangSong_GB2312"/>
                <w:color w:val="000000"/>
                <w:kern w:val="0"/>
                <w:sz w:val="24"/>
                <w:lang w:eastAsia="zh-CN" w:bidi="ar"/>
              </w:rPr>
              <w:t>西门子</w:t>
            </w:r>
            <w:r>
              <w:rPr>
                <w:rFonts w:hint="eastAsia" w:ascii="FangSong_GB2312" w:hAnsi="FangSong_GB2312" w:eastAsia="FangSong_GB2312" w:cs="FangSong_GB2312"/>
                <w:color w:val="000000"/>
                <w:kern w:val="0"/>
                <w:sz w:val="24"/>
                <w:szCs w:val="24"/>
                <w:lang w:val="en-US" w:eastAsia="zh-CN" w:bidi="ar"/>
              </w:rPr>
              <w:t>1.5T</w:t>
            </w:r>
            <w:r>
              <w:rPr>
                <w:rFonts w:hint="eastAsia" w:ascii="FangSong_GB2312" w:hAnsi="FangSong_GB2312" w:eastAsia="FangSong_GB2312" w:cs="FangSong_GB2312"/>
                <w:color w:val="000000"/>
                <w:kern w:val="0"/>
                <w:sz w:val="24"/>
                <w:lang w:val="en-US" w:eastAsia="zh-CN" w:bidi="ar"/>
              </w:rPr>
              <w:t>核磁共振维保服务（服务期限2年，在考核合格前提下一年一签），评分标准见附件2、详细参数要求见附件3</w:t>
            </w:r>
            <w:bookmarkStart w:id="0" w:name="_GoBack"/>
            <w:bookmarkEnd w:id="0"/>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合同履行期限：合同签订之日起</w:t>
            </w:r>
            <w:r>
              <w:rPr>
                <w:rFonts w:hint="eastAsia" w:ascii="FangSong_GB2312" w:hAnsi="FangSong_GB2312" w:eastAsia="FangSong_GB2312" w:cs="FangSong_GB2312"/>
                <w:color w:val="000000"/>
                <w:kern w:val="0"/>
                <w:sz w:val="24"/>
                <w:lang w:val="en-US" w:eastAsia="zh-CN" w:bidi="ar"/>
              </w:rPr>
              <w:t>15个工作日内</w:t>
            </w:r>
            <w:r>
              <w:rPr>
                <w:rFonts w:hint="eastAsia" w:ascii="FangSong_GB2312" w:hAnsi="FangSong_GB2312" w:eastAsia="FangSong_GB2312" w:cs="FangSong_GB2312"/>
                <w:color w:val="000000"/>
                <w:kern w:val="0"/>
                <w:sz w:val="24"/>
                <w:lang w:bidi="ar"/>
              </w:rPr>
              <w:t>履行</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C6EFC2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提供独立承担民事责任的能力，如营业执照、自然人身份证明等</w:t>
            </w:r>
          </w:p>
        </w:tc>
      </w:tr>
      <w:tr w14:paraId="2846FAC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E8F3B1">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具有良好的商业信誉和健全的财务制度，具体要求（如财务报表等）</w:t>
            </w:r>
          </w:p>
        </w:tc>
      </w:tr>
      <w:tr w14:paraId="355B248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E8927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具有履行合同所必须的设备和专业技术能力（资料或承诺）</w:t>
            </w:r>
          </w:p>
        </w:tc>
      </w:tr>
      <w:tr w14:paraId="34FBCFF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3C0C5B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具有依法缴纳税收和社会保障金的良好记录</w:t>
            </w:r>
          </w:p>
        </w:tc>
      </w:tr>
      <w:tr w14:paraId="477D506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680F10">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参加政府采购活动前三年内，在经营活动中没有重大违法记录（书面证明）</w:t>
            </w:r>
          </w:p>
        </w:tc>
      </w:tr>
      <w:tr w14:paraId="1E3B8757">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264BD93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不是失信被执行人、重大税收违法案件当事人、政府采购严重违法失信行为人等的承诺或资料</w:t>
            </w:r>
          </w:p>
        </w:tc>
      </w:tr>
      <w:tr w14:paraId="44931612">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A0933E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是否接受联合体投标：否</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640"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截止时间：自本公告发布之日起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C07F18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地点：贵州航天医院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bidi="ar"/>
              </w:rPr>
              <w:t>医学装备部</w:t>
            </w:r>
            <w:r>
              <w:rPr>
                <w:rFonts w:hint="eastAsia" w:ascii="FangSong_GB2312" w:hAnsi="FangSong_GB2312" w:eastAsia="FangSong_GB2312" w:cs="FangSong_GB2312"/>
                <w:color w:val="000000"/>
                <w:kern w:val="0"/>
                <w:sz w:val="24"/>
                <w:lang w:val="en-US" w:eastAsia="zh-CN" w:bidi="ar"/>
              </w:rPr>
              <w:t>赵老师</w:t>
            </w:r>
            <w:r>
              <w:rPr>
                <w:rFonts w:hint="eastAsia" w:ascii="FangSong_GB2312" w:hAnsi="FangSong_GB2312" w:eastAsia="FangSong_GB2312" w:cs="FangSong_GB2312"/>
                <w:color w:val="000000"/>
                <w:kern w:val="0"/>
                <w:sz w:val="24"/>
                <w:lang w:bidi="ar"/>
              </w:rPr>
              <w:t>收，联系电话：0851-</w:t>
            </w:r>
            <w:r>
              <w:rPr>
                <w:rFonts w:hint="eastAsia" w:asciiTheme="minorEastAsia" w:hAnsiTheme="minorEastAsia" w:eastAsiaTheme="minorEastAsia" w:cstheme="minorEastAsia"/>
                <w:color w:val="000000"/>
                <w:kern w:val="0"/>
                <w:sz w:val="24"/>
                <w:lang w:bidi="ar"/>
              </w:rPr>
              <w:t>27677989</w:t>
            </w:r>
          </w:p>
        </w:tc>
      </w:tr>
      <w:tr w14:paraId="5AA8DD6C">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CF2E34E">
            <w:pPr>
              <w:widowControl/>
              <w:jc w:val="left"/>
              <w:textAlignment w:val="center"/>
              <w:rPr>
                <w:rFonts w:hint="eastAsia" w:ascii="FangSong_GB2312" w:hAnsi="FangSong_GB2312" w:eastAsia="FangSong_GB2312" w:cs="FangSong_GB2312"/>
                <w:color w:val="000000"/>
                <w:sz w:val="24"/>
                <w:lang w:eastAsia="zh-CN"/>
              </w:rPr>
            </w:pPr>
            <w:r>
              <w:rPr>
                <w:rFonts w:hint="eastAsia" w:ascii="FangSong_GB2312" w:hAnsi="FangSong_GB2312" w:eastAsia="FangSong_GB2312" w:cs="FangSong_GB2312"/>
                <w:color w:val="000000"/>
                <w:kern w:val="0"/>
                <w:sz w:val="24"/>
                <w:lang w:bidi="ar"/>
              </w:rPr>
              <w:t xml:space="preserve">    开启：（是否见面、纸质或电子）</w:t>
            </w:r>
            <w:r>
              <w:rPr>
                <w:rFonts w:hint="eastAsia" w:ascii="FangSong_GB2312" w:hAnsi="FangSong_GB2312" w:eastAsia="FangSong_GB2312" w:cs="FangSong_GB2312"/>
                <w:color w:val="000000"/>
                <w:kern w:val="0"/>
                <w:sz w:val="24"/>
                <w:lang w:eastAsia="zh-CN" w:bidi="ar"/>
              </w:rPr>
              <w:t>纸质版密封</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w:t>
            </w:r>
            <w:r>
              <w:rPr>
                <w:rFonts w:hint="eastAsia" w:ascii="FangSong_GB2312" w:hAnsi="FangSong_GB2312" w:eastAsia="FangSong_GB2312" w:cs="FangSong_GB2312"/>
                <w:color w:val="000000"/>
                <w:kern w:val="0"/>
                <w:sz w:val="24"/>
                <w:lang w:eastAsia="zh-CN" w:bidi="ar"/>
              </w:rPr>
              <w:t>陈</w:t>
            </w:r>
            <w:r>
              <w:rPr>
                <w:rFonts w:hint="eastAsia" w:ascii="FangSong_GB2312" w:hAnsi="FangSong_GB2312" w:eastAsia="FangSong_GB2312" w:cs="FangSong_GB2312"/>
                <w:color w:val="000000"/>
                <w:kern w:val="0"/>
                <w:sz w:val="24"/>
                <w:lang w:val="en-US" w:eastAsia="zh-CN" w:bidi="ar"/>
              </w:rPr>
              <w:t>老师</w:t>
            </w:r>
            <w:r>
              <w:rPr>
                <w:rFonts w:hint="eastAsia" w:ascii="FangSong_GB2312" w:hAnsi="FangSong_GB2312" w:eastAsia="FangSong_GB2312" w:cs="FangSong_GB2312"/>
                <w:color w:val="000000"/>
                <w:kern w:val="0"/>
                <w:sz w:val="24"/>
                <w:lang w:bidi="ar"/>
              </w:rPr>
              <w:t>，联系电话：0851-</w:t>
            </w:r>
            <w:r>
              <w:rPr>
                <w:rFonts w:hint="eastAsia" w:asciiTheme="minorEastAsia" w:hAnsiTheme="minorEastAsia" w:eastAsiaTheme="minorEastAsia" w:cstheme="minorEastAsia"/>
                <w:color w:val="000000"/>
                <w:kern w:val="0"/>
                <w:sz w:val="24"/>
                <w:lang w:bidi="ar"/>
              </w:rPr>
              <w:t>27677989</w:t>
            </w:r>
          </w:p>
        </w:tc>
      </w:tr>
    </w:tbl>
    <w:p w14:paraId="7CC65435">
      <w:pPr>
        <w:jc w:val="left"/>
        <w:rPr>
          <w:rFonts w:hint="eastAsia"/>
          <w:b/>
          <w:bCs/>
          <w:sz w:val="30"/>
          <w:szCs w:val="30"/>
          <w:lang w:eastAsia="zh-CN"/>
        </w:rPr>
      </w:pPr>
    </w:p>
    <w:p w14:paraId="76EE598D">
      <w:pPr>
        <w:pStyle w:val="9"/>
        <w:spacing w:before="0" w:beforeAutospacing="0" w:after="0" w:afterAutospacing="0" w:line="440" w:lineRule="exact"/>
        <w:jc w:val="left"/>
        <w:rPr>
          <w:rFonts w:hint="eastAsia" w:cs="宋体"/>
          <w:b/>
          <w:bCs/>
          <w:sz w:val="30"/>
          <w:szCs w:val="30"/>
          <w:lang w:val="en-US" w:eastAsia="zh-CN"/>
        </w:rPr>
      </w:pPr>
    </w:p>
    <w:p w14:paraId="53FFBB06">
      <w:pPr>
        <w:pStyle w:val="9"/>
        <w:spacing w:before="0" w:beforeAutospacing="0" w:after="0" w:afterAutospacing="0" w:line="440" w:lineRule="exact"/>
        <w:jc w:val="left"/>
        <w:rPr>
          <w:rFonts w:hint="eastAsia" w:cs="宋体"/>
          <w:b/>
          <w:bCs/>
          <w:sz w:val="30"/>
          <w:szCs w:val="30"/>
          <w:lang w:val="en-US" w:eastAsia="zh-CN"/>
        </w:rPr>
      </w:pPr>
    </w:p>
    <w:p w14:paraId="1531A490">
      <w:pPr>
        <w:pStyle w:val="9"/>
        <w:spacing w:before="0" w:beforeAutospacing="0" w:after="0" w:afterAutospacing="0" w:line="440" w:lineRule="exact"/>
        <w:jc w:val="left"/>
        <w:rPr>
          <w:rFonts w:hint="default" w:cs="宋体"/>
          <w:b/>
          <w:bCs/>
          <w:sz w:val="30"/>
          <w:szCs w:val="30"/>
          <w:lang w:val="en-US" w:eastAsia="zh-CN"/>
        </w:rPr>
      </w:pPr>
      <w:r>
        <w:rPr>
          <w:rFonts w:hint="eastAsia" w:cs="宋体"/>
          <w:b/>
          <w:bCs/>
          <w:sz w:val="30"/>
          <w:szCs w:val="30"/>
          <w:lang w:val="en-US" w:eastAsia="zh-CN"/>
        </w:rPr>
        <w:t>附件2：评分标准</w:t>
      </w:r>
    </w:p>
    <w:tbl>
      <w:tblPr>
        <w:tblStyle w:val="1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95"/>
        <w:gridCol w:w="6575"/>
      </w:tblGrid>
      <w:tr w14:paraId="48C5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95" w:type="dxa"/>
            <w:vAlign w:val="center"/>
          </w:tcPr>
          <w:p w14:paraId="5200C3C9">
            <w:pPr>
              <w:jc w:val="both"/>
              <w:rPr>
                <w:rFonts w:hint="eastAsia" w:ascii="仿宋" w:hAnsi="仿宋" w:eastAsia="仿宋"/>
                <w:sz w:val="24"/>
                <w:szCs w:val="24"/>
              </w:rPr>
            </w:pPr>
            <w:r>
              <w:rPr>
                <w:rFonts w:hint="eastAsia" w:ascii="仿宋" w:hAnsi="仿宋" w:eastAsia="仿宋"/>
                <w:sz w:val="24"/>
                <w:szCs w:val="24"/>
              </w:rPr>
              <w:t>1投标供应商报价分（10</w:t>
            </w:r>
            <w:r>
              <w:rPr>
                <w:rFonts w:hint="eastAsia" w:ascii="仿宋" w:hAnsi="仿宋" w:eastAsia="仿宋"/>
                <w:sz w:val="24"/>
                <w:szCs w:val="24"/>
                <w:lang w:val="en-US" w:eastAsia="zh-CN"/>
              </w:rPr>
              <w:t>分</w:t>
            </w:r>
            <w:r>
              <w:rPr>
                <w:rFonts w:hint="eastAsia" w:ascii="仿宋" w:hAnsi="仿宋" w:eastAsia="仿宋"/>
                <w:sz w:val="24"/>
                <w:szCs w:val="24"/>
              </w:rPr>
              <w:t>）</w:t>
            </w:r>
          </w:p>
        </w:tc>
        <w:tc>
          <w:tcPr>
            <w:tcW w:w="6575" w:type="dxa"/>
          </w:tcPr>
          <w:p w14:paraId="0263C692">
            <w:pPr>
              <w:rPr>
                <w:rFonts w:hint="default" w:ascii="仿宋" w:hAnsi="仿宋" w:eastAsia="仿宋"/>
                <w:sz w:val="24"/>
                <w:szCs w:val="24"/>
                <w:lang w:val="en-US" w:eastAsia="zh-CN"/>
              </w:rPr>
            </w:pPr>
            <w:r>
              <w:rPr>
                <w:rFonts w:hint="eastAsia" w:ascii="仿宋" w:hAnsi="仿宋" w:eastAsia="仿宋"/>
                <w:sz w:val="24"/>
                <w:szCs w:val="24"/>
              </w:rPr>
              <w:t>投标供应商报价分（10分）</w:t>
            </w:r>
            <w:r>
              <w:rPr>
                <w:rFonts w:hint="eastAsia" w:ascii="仿宋" w:hAnsi="仿宋" w:eastAsia="仿宋"/>
                <w:sz w:val="24"/>
                <w:szCs w:val="24"/>
                <w:lang w:val="en-US" w:eastAsia="zh-CN"/>
              </w:rPr>
              <w:t>报价最低得满分10分，按报价高低依次递减2分。</w:t>
            </w:r>
          </w:p>
        </w:tc>
      </w:tr>
      <w:tr w14:paraId="137C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95" w:type="dxa"/>
            <w:vAlign w:val="center"/>
          </w:tcPr>
          <w:p w14:paraId="5DB0E22B">
            <w:pPr>
              <w:jc w:val="both"/>
              <w:rPr>
                <w:rFonts w:hint="eastAsia" w:ascii="仿宋" w:hAnsi="仿宋" w:eastAsia="仿宋"/>
                <w:sz w:val="24"/>
                <w:szCs w:val="24"/>
              </w:rPr>
            </w:pPr>
            <w:r>
              <w:rPr>
                <w:rFonts w:hint="eastAsia" w:ascii="仿宋" w:hAnsi="仿宋" w:eastAsia="仿宋"/>
                <w:sz w:val="24"/>
                <w:szCs w:val="24"/>
              </w:rPr>
              <w:t>2 参数响应程度（30分）</w:t>
            </w:r>
          </w:p>
        </w:tc>
        <w:tc>
          <w:tcPr>
            <w:tcW w:w="6575" w:type="dxa"/>
          </w:tcPr>
          <w:p w14:paraId="65E168C1">
            <w:pPr>
              <w:rPr>
                <w:rFonts w:hint="eastAsia" w:ascii="仿宋" w:hAnsi="仿宋" w:eastAsia="仿宋"/>
                <w:sz w:val="24"/>
                <w:szCs w:val="24"/>
              </w:rPr>
            </w:pPr>
            <w:r>
              <w:rPr>
                <w:rFonts w:hint="eastAsia" w:ascii="仿宋" w:hAnsi="仿宋" w:eastAsia="仿宋"/>
                <w:sz w:val="24"/>
                <w:szCs w:val="24"/>
              </w:rPr>
              <w:t>技术要求中加“★”项条款，总分30分，每一条不满足扣 5分，扣完为止。</w:t>
            </w:r>
          </w:p>
        </w:tc>
      </w:tr>
      <w:tr w14:paraId="1351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95" w:type="dxa"/>
            <w:vAlign w:val="center"/>
          </w:tcPr>
          <w:p w14:paraId="30D987B6">
            <w:pPr>
              <w:jc w:val="both"/>
              <w:rPr>
                <w:rFonts w:hint="eastAsia" w:ascii="仿宋" w:hAnsi="仿宋" w:eastAsia="仿宋"/>
                <w:sz w:val="24"/>
                <w:szCs w:val="24"/>
              </w:rPr>
            </w:pPr>
            <w:r>
              <w:rPr>
                <w:rFonts w:hint="eastAsia" w:ascii="仿宋" w:hAnsi="仿宋" w:eastAsia="仿宋"/>
                <w:sz w:val="24"/>
                <w:szCs w:val="24"/>
              </w:rPr>
              <w:t>3 维保服务授权（10分）</w:t>
            </w:r>
          </w:p>
        </w:tc>
        <w:tc>
          <w:tcPr>
            <w:tcW w:w="6575" w:type="dxa"/>
          </w:tcPr>
          <w:p w14:paraId="24382FD4">
            <w:pPr>
              <w:rPr>
                <w:rFonts w:hint="eastAsia" w:ascii="仿宋" w:hAnsi="仿宋" w:eastAsia="仿宋"/>
                <w:sz w:val="24"/>
                <w:szCs w:val="24"/>
              </w:rPr>
            </w:pPr>
            <w:r>
              <w:rPr>
                <w:rFonts w:hint="eastAsia" w:ascii="仿宋" w:hAnsi="仿宋" w:eastAsia="仿宋"/>
                <w:sz w:val="24"/>
                <w:szCs w:val="24"/>
              </w:rPr>
              <w:t>投标人能提供本次维保服务设备品牌厂家售后服务授权认可的，提供得10分。不提供不得分。</w:t>
            </w:r>
          </w:p>
          <w:p w14:paraId="1A8FA246">
            <w:pPr>
              <w:rPr>
                <w:rFonts w:hint="eastAsia" w:ascii="仿宋" w:hAnsi="仿宋" w:eastAsia="仿宋"/>
                <w:sz w:val="24"/>
                <w:szCs w:val="24"/>
              </w:rPr>
            </w:pPr>
            <w:r>
              <w:rPr>
                <w:rFonts w:hint="eastAsia" w:ascii="仿宋" w:hAnsi="仿宋" w:eastAsia="仿宋"/>
                <w:sz w:val="24"/>
                <w:szCs w:val="24"/>
              </w:rPr>
              <w:t>注：提供有效授权书并加盖投标人公章（在与采购人签订合同时，须提供原件进行核查，无法提供的按虚假投标处理）。未提供或提供的、材料不符要求的不得分。</w:t>
            </w:r>
          </w:p>
        </w:tc>
      </w:tr>
      <w:tr w14:paraId="5CA6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95" w:type="dxa"/>
            <w:vAlign w:val="center"/>
          </w:tcPr>
          <w:p w14:paraId="2724D791">
            <w:pPr>
              <w:jc w:val="both"/>
              <w:rPr>
                <w:rFonts w:hint="eastAsia" w:ascii="仿宋" w:hAnsi="仿宋" w:eastAsia="仿宋"/>
                <w:sz w:val="24"/>
                <w:szCs w:val="24"/>
              </w:rPr>
            </w:pPr>
            <w:r>
              <w:rPr>
                <w:rFonts w:hint="eastAsia" w:ascii="仿宋" w:hAnsi="仿宋" w:eastAsia="仿宋"/>
                <w:sz w:val="24"/>
                <w:szCs w:val="24"/>
              </w:rPr>
              <w:t>4 人员资质要求（10分）</w:t>
            </w:r>
          </w:p>
        </w:tc>
        <w:tc>
          <w:tcPr>
            <w:tcW w:w="6575" w:type="dxa"/>
          </w:tcPr>
          <w:p w14:paraId="4B6EA2B4">
            <w:pPr>
              <w:rPr>
                <w:rFonts w:hint="eastAsia" w:ascii="仿宋" w:hAnsi="仿宋" w:eastAsia="仿宋"/>
                <w:sz w:val="24"/>
                <w:szCs w:val="24"/>
              </w:rPr>
            </w:pPr>
            <w:r>
              <w:rPr>
                <w:rFonts w:hint="eastAsia" w:ascii="仿宋" w:hAnsi="仿宋" w:eastAsia="仿宋"/>
                <w:sz w:val="24"/>
                <w:szCs w:val="24"/>
              </w:rPr>
              <w:t>为保障设备维修质量，投标人设备维修工程师需经原厂培训且培训合格。</w:t>
            </w:r>
          </w:p>
          <w:p w14:paraId="4BAF8523">
            <w:pPr>
              <w:rPr>
                <w:rFonts w:hint="eastAsia" w:ascii="仿宋" w:hAnsi="仿宋" w:eastAsia="仿宋"/>
                <w:sz w:val="24"/>
                <w:szCs w:val="24"/>
              </w:rPr>
            </w:pPr>
            <w:r>
              <w:rPr>
                <w:rFonts w:hint="eastAsia" w:ascii="仿宋" w:hAnsi="仿宋" w:eastAsia="仿宋"/>
                <w:sz w:val="24"/>
                <w:szCs w:val="24"/>
              </w:rPr>
              <w:t>1：投标人每提供1名及以上经西门子厂家培训且培训合格的工程师，证书能体现维保设备核磁共振的得5分 。</w:t>
            </w:r>
          </w:p>
          <w:p w14:paraId="279371DF">
            <w:pPr>
              <w:rPr>
                <w:rFonts w:hint="eastAsia" w:ascii="仿宋" w:hAnsi="仿宋" w:eastAsia="仿宋"/>
                <w:sz w:val="24"/>
                <w:szCs w:val="24"/>
              </w:rPr>
            </w:pPr>
            <w:r>
              <w:rPr>
                <w:rFonts w:hint="eastAsia" w:ascii="仿宋" w:hAnsi="仿宋" w:eastAsia="仿宋"/>
                <w:sz w:val="24"/>
                <w:szCs w:val="24"/>
              </w:rPr>
              <w:t>注：</w:t>
            </w:r>
          </w:p>
          <w:p w14:paraId="5E844FE7">
            <w:pPr>
              <w:rPr>
                <w:rFonts w:hint="eastAsia" w:ascii="仿宋" w:hAnsi="仿宋" w:eastAsia="仿宋"/>
                <w:sz w:val="24"/>
                <w:szCs w:val="24"/>
              </w:rPr>
            </w:pPr>
            <w:r>
              <w:rPr>
                <w:rFonts w:hint="eastAsia" w:ascii="仿宋" w:hAnsi="仿宋" w:eastAsia="仿宋"/>
                <w:sz w:val="24"/>
                <w:szCs w:val="24"/>
              </w:rPr>
              <w:t>1、上述证明材料须提供培训证书并加盖投标人公章作为证明材料，未提供或提供的材料不符要求 的不得分；</w:t>
            </w:r>
          </w:p>
          <w:p w14:paraId="14FA2D3C">
            <w:pPr>
              <w:rPr>
                <w:rFonts w:hint="eastAsia" w:ascii="仿宋" w:hAnsi="仿宋" w:eastAsia="仿宋"/>
                <w:sz w:val="24"/>
                <w:szCs w:val="24"/>
              </w:rPr>
            </w:pPr>
            <w:r>
              <w:rPr>
                <w:rFonts w:hint="eastAsia" w:ascii="仿宋" w:hAnsi="仿宋" w:eastAsia="仿宋"/>
                <w:sz w:val="24"/>
                <w:szCs w:val="24"/>
              </w:rPr>
              <w:t>2、人员必须为投标单位人员，并加盖投标单位公章，不提供不得分。</w:t>
            </w:r>
          </w:p>
        </w:tc>
      </w:tr>
      <w:tr w14:paraId="2ED3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2995" w:type="dxa"/>
            <w:vAlign w:val="center"/>
          </w:tcPr>
          <w:p w14:paraId="67A2FF95">
            <w:pPr>
              <w:jc w:val="both"/>
              <w:rPr>
                <w:rFonts w:hint="eastAsia" w:ascii="仿宋" w:hAnsi="仿宋" w:eastAsia="仿宋"/>
                <w:sz w:val="24"/>
                <w:szCs w:val="24"/>
              </w:rPr>
            </w:pPr>
            <w:r>
              <w:rPr>
                <w:rFonts w:hint="eastAsia" w:ascii="仿宋" w:hAnsi="仿宋" w:eastAsia="仿宋"/>
                <w:sz w:val="24"/>
                <w:szCs w:val="24"/>
              </w:rPr>
              <w:t>5 业绩（20分）</w:t>
            </w:r>
          </w:p>
        </w:tc>
        <w:tc>
          <w:tcPr>
            <w:tcW w:w="6575" w:type="dxa"/>
          </w:tcPr>
          <w:p w14:paraId="7333F814">
            <w:pPr>
              <w:rPr>
                <w:rFonts w:hint="eastAsia" w:ascii="仿宋" w:hAnsi="仿宋" w:eastAsia="仿宋"/>
                <w:sz w:val="24"/>
                <w:szCs w:val="24"/>
              </w:rPr>
            </w:pPr>
            <w:r>
              <w:rPr>
                <w:rFonts w:hint="eastAsia" w:ascii="仿宋" w:hAnsi="仿宋" w:eastAsia="仿宋"/>
                <w:sz w:val="24"/>
                <w:szCs w:val="24"/>
              </w:rPr>
              <w:t>投标人需具备同型号设备维修能力，投标人提供的 202</w:t>
            </w:r>
            <w:r>
              <w:rPr>
                <w:rFonts w:hint="eastAsia" w:ascii="仿宋" w:hAnsi="仿宋" w:eastAsia="仿宋"/>
                <w:sz w:val="24"/>
                <w:szCs w:val="24"/>
                <w:lang w:val="en-US" w:eastAsia="zh-CN"/>
              </w:rPr>
              <w:t>3</w:t>
            </w:r>
            <w:r>
              <w:rPr>
                <w:rFonts w:hint="eastAsia" w:ascii="仿宋" w:hAnsi="仿宋" w:eastAsia="仿宋"/>
                <w:sz w:val="24"/>
                <w:szCs w:val="24"/>
              </w:rPr>
              <w:t>年1月1日至今所完成的维保业绩。</w:t>
            </w:r>
          </w:p>
          <w:p w14:paraId="2BC10842">
            <w:pPr>
              <w:rPr>
                <w:rFonts w:hint="eastAsia" w:ascii="仿宋" w:hAnsi="仿宋" w:eastAsia="仿宋"/>
                <w:sz w:val="24"/>
                <w:szCs w:val="24"/>
              </w:rPr>
            </w:pPr>
            <w:r>
              <w:rPr>
                <w:rFonts w:hint="eastAsia" w:ascii="仿宋" w:hAnsi="仿宋" w:eastAsia="仿宋"/>
                <w:sz w:val="24"/>
                <w:szCs w:val="24"/>
              </w:rPr>
              <w:t>1：核磁共振业绩每提供一个得5分，最高分20分，不提供不得分。</w:t>
            </w:r>
          </w:p>
          <w:p w14:paraId="32DEF7C3">
            <w:pPr>
              <w:rPr>
                <w:rFonts w:hint="eastAsia" w:ascii="仿宋" w:hAnsi="仿宋" w:eastAsia="仿宋"/>
                <w:sz w:val="24"/>
                <w:szCs w:val="24"/>
              </w:rPr>
            </w:pPr>
            <w:r>
              <w:rPr>
                <w:rFonts w:hint="eastAsia" w:ascii="仿宋" w:hAnsi="仿宋" w:eastAsia="仿宋"/>
                <w:sz w:val="24"/>
                <w:szCs w:val="24"/>
              </w:rPr>
              <w:t xml:space="preserve">提供上述维保业绩，若公章或采购合同内容不清晰或缺页，评委有权不予认可。 </w:t>
            </w:r>
          </w:p>
        </w:tc>
      </w:tr>
      <w:tr w14:paraId="26CE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95" w:type="dxa"/>
            <w:vAlign w:val="center"/>
          </w:tcPr>
          <w:p w14:paraId="1C64E2C5">
            <w:pPr>
              <w:jc w:val="both"/>
              <w:rPr>
                <w:rFonts w:hint="eastAsia" w:ascii="仿宋" w:hAnsi="仿宋" w:eastAsia="仿宋"/>
                <w:sz w:val="24"/>
                <w:szCs w:val="24"/>
              </w:rPr>
            </w:pPr>
            <w:r>
              <w:rPr>
                <w:rFonts w:hint="eastAsia" w:ascii="仿宋" w:hAnsi="仿宋" w:eastAsia="仿宋"/>
                <w:sz w:val="24"/>
                <w:szCs w:val="24"/>
              </w:rPr>
              <w:t>6 核心备件更换承诺（5分）</w:t>
            </w:r>
          </w:p>
        </w:tc>
        <w:tc>
          <w:tcPr>
            <w:tcW w:w="6575" w:type="dxa"/>
          </w:tcPr>
          <w:p w14:paraId="655C73AC">
            <w:pPr>
              <w:rPr>
                <w:rFonts w:hint="eastAsia" w:ascii="仿宋" w:hAnsi="仿宋" w:eastAsia="仿宋"/>
                <w:sz w:val="24"/>
                <w:szCs w:val="24"/>
              </w:rPr>
            </w:pPr>
            <w:r>
              <w:rPr>
                <w:rFonts w:hint="eastAsia" w:ascii="仿宋" w:hAnsi="仿宋" w:eastAsia="仿宋"/>
                <w:sz w:val="24"/>
                <w:szCs w:val="24"/>
              </w:rPr>
              <w:t>所有更换配件必须为该设备同规格型号的原厂、全新配件，包括但不限于磁共振梯度线圈、发射体线圈、一体化射频发射接收系统等，为保证备件货源渠道合法及质量可靠，投标人需具备备件的溯原管理能力，需提下列资料，包含但不限于向原设备制造商采购配套备件的历史成交记录证明材料、出厂合格证、进口报关单等证明材料。（提供承诺函）提供得5分，不提供不得分。</w:t>
            </w:r>
          </w:p>
        </w:tc>
      </w:tr>
      <w:tr w14:paraId="0478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95" w:type="dxa"/>
            <w:vAlign w:val="center"/>
          </w:tcPr>
          <w:p w14:paraId="599F02DB">
            <w:pPr>
              <w:jc w:val="both"/>
              <w:rPr>
                <w:rFonts w:hint="eastAsia" w:ascii="仿宋" w:hAnsi="仿宋" w:eastAsia="仿宋"/>
                <w:sz w:val="24"/>
                <w:szCs w:val="24"/>
              </w:rPr>
            </w:pPr>
            <w:r>
              <w:rPr>
                <w:rFonts w:hint="eastAsia" w:ascii="仿宋" w:hAnsi="仿宋" w:eastAsia="仿宋"/>
                <w:sz w:val="24"/>
                <w:szCs w:val="24"/>
              </w:rPr>
              <w:t>7仓储证明文件（5分）</w:t>
            </w:r>
          </w:p>
        </w:tc>
        <w:tc>
          <w:tcPr>
            <w:tcW w:w="6575" w:type="dxa"/>
          </w:tcPr>
          <w:p w14:paraId="443D732F">
            <w:pPr>
              <w:rPr>
                <w:rFonts w:hint="eastAsia" w:ascii="仿宋" w:hAnsi="仿宋" w:eastAsia="仿宋"/>
                <w:sz w:val="24"/>
                <w:szCs w:val="24"/>
              </w:rPr>
            </w:pPr>
            <w:r>
              <w:rPr>
                <w:rFonts w:hint="eastAsia" w:ascii="仿宋" w:hAnsi="仿宋" w:eastAsia="仿宋"/>
                <w:sz w:val="24"/>
                <w:szCs w:val="24"/>
              </w:rPr>
              <w:t>在国内设有专业备件库，提供国内备件库仓储证明，包含但不限于库房租赁合同、房产证文件、库房照片等，提供得5分，不提供不得分。</w:t>
            </w:r>
          </w:p>
        </w:tc>
      </w:tr>
      <w:tr w14:paraId="6D7B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95" w:type="dxa"/>
            <w:vAlign w:val="center"/>
          </w:tcPr>
          <w:p w14:paraId="4670C8D9">
            <w:pPr>
              <w:jc w:val="both"/>
              <w:rPr>
                <w:rFonts w:hint="eastAsia" w:ascii="仿宋" w:hAnsi="仿宋" w:eastAsia="仿宋"/>
                <w:sz w:val="24"/>
                <w:szCs w:val="24"/>
              </w:rPr>
            </w:pPr>
            <w:r>
              <w:rPr>
                <w:rFonts w:hint="eastAsia" w:ascii="仿宋" w:hAnsi="仿宋" w:eastAsia="仿宋"/>
                <w:sz w:val="24"/>
                <w:szCs w:val="24"/>
              </w:rPr>
              <w:t>8 维保方案综合评价(10分)</w:t>
            </w:r>
          </w:p>
        </w:tc>
        <w:tc>
          <w:tcPr>
            <w:tcW w:w="6575" w:type="dxa"/>
            <w:vAlign w:val="center"/>
          </w:tcPr>
          <w:p w14:paraId="6FD5FD01">
            <w:pPr>
              <w:rPr>
                <w:rFonts w:hint="eastAsia" w:ascii="仿宋" w:hAnsi="仿宋" w:eastAsia="仿宋"/>
                <w:sz w:val="24"/>
                <w:szCs w:val="24"/>
              </w:rPr>
            </w:pPr>
            <w:r>
              <w:rPr>
                <w:rFonts w:hint="eastAsia" w:ascii="仿宋" w:hAnsi="仿宋" w:eastAsia="仿宋"/>
                <w:sz w:val="24"/>
                <w:szCs w:val="24"/>
              </w:rPr>
              <w:t>维护保养方案具体全面，对本项目维保的重点、难点分析准确，维保工作流程全面、合理，得10分。</w:t>
            </w:r>
          </w:p>
          <w:p w14:paraId="7F57F6D6">
            <w:pPr>
              <w:rPr>
                <w:rFonts w:hint="eastAsia" w:ascii="仿宋" w:hAnsi="仿宋" w:eastAsia="仿宋"/>
                <w:sz w:val="24"/>
                <w:szCs w:val="24"/>
              </w:rPr>
            </w:pPr>
            <w:r>
              <w:rPr>
                <w:rFonts w:hint="eastAsia" w:ascii="仿宋" w:hAnsi="仿宋" w:eastAsia="仿宋"/>
                <w:sz w:val="24"/>
                <w:szCs w:val="24"/>
              </w:rPr>
              <w:t>维护保养方案一般，有对本项目维保的重点、难点分析，维保工作流程符合本项目要求，得5分。</w:t>
            </w:r>
          </w:p>
          <w:p w14:paraId="6CA56A19">
            <w:pPr>
              <w:rPr>
                <w:rFonts w:hint="eastAsia" w:ascii="仿宋" w:hAnsi="仿宋" w:eastAsia="仿宋"/>
                <w:sz w:val="24"/>
                <w:szCs w:val="24"/>
              </w:rPr>
            </w:pPr>
            <w:r>
              <w:rPr>
                <w:rFonts w:hint="eastAsia" w:ascii="仿宋" w:hAnsi="仿宋" w:eastAsia="仿宋"/>
                <w:sz w:val="24"/>
                <w:szCs w:val="24"/>
              </w:rPr>
              <w:t>维护保养方案较差或未提供服务方案，得2分</w:t>
            </w:r>
          </w:p>
          <w:p w14:paraId="20E432C0">
            <w:pPr>
              <w:rPr>
                <w:rFonts w:hint="eastAsia" w:ascii="仿宋" w:hAnsi="仿宋" w:eastAsia="仿宋"/>
                <w:sz w:val="24"/>
                <w:szCs w:val="24"/>
              </w:rPr>
            </w:pPr>
            <w:r>
              <w:rPr>
                <w:rFonts w:hint="eastAsia" w:ascii="仿宋" w:hAnsi="仿宋" w:eastAsia="仿宋"/>
                <w:sz w:val="24"/>
                <w:szCs w:val="24"/>
              </w:rPr>
              <w:t>未提供方案不得分</w:t>
            </w:r>
          </w:p>
        </w:tc>
      </w:tr>
    </w:tbl>
    <w:p w14:paraId="299D8815">
      <w:pPr>
        <w:pStyle w:val="9"/>
        <w:spacing w:before="0" w:beforeAutospacing="0" w:after="0" w:afterAutospacing="0" w:line="440" w:lineRule="exact"/>
        <w:jc w:val="left"/>
        <w:rPr>
          <w:rFonts w:hint="default" w:cs="宋体"/>
          <w:b/>
          <w:bCs/>
          <w:sz w:val="30"/>
          <w:szCs w:val="30"/>
          <w:lang w:val="en-US" w:eastAsia="zh-CN"/>
        </w:rPr>
      </w:pPr>
    </w:p>
    <w:p w14:paraId="6B6CE5FF">
      <w:pPr>
        <w:pStyle w:val="2"/>
        <w:bidi w:val="0"/>
        <w:jc w:val="both"/>
        <w:rPr>
          <w:rFonts w:hint="default" w:cs="宋体"/>
          <w:b/>
          <w:bCs/>
          <w:sz w:val="30"/>
          <w:szCs w:val="30"/>
          <w:lang w:val="en-US" w:eastAsia="zh-CN"/>
        </w:rPr>
      </w:pPr>
      <w:r>
        <w:rPr>
          <w:rFonts w:hint="eastAsia" w:cs="宋体"/>
          <w:b/>
          <w:bCs/>
          <w:sz w:val="30"/>
          <w:szCs w:val="30"/>
          <w:lang w:val="en-US" w:eastAsia="zh-CN"/>
        </w:rPr>
        <w:t>附件3：参数要求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738"/>
        <w:gridCol w:w="1485"/>
        <w:gridCol w:w="4394"/>
      </w:tblGrid>
      <w:tr w14:paraId="2BDC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tcPr>
          <w:p w14:paraId="47C7B046">
            <w:pPr>
              <w:widowControl/>
              <w:jc w:val="center"/>
              <w:rPr>
                <w:rFonts w:hint="eastAsia" w:ascii="微软雅黑" w:hAnsi="微软雅黑" w:eastAsia="微软雅黑"/>
                <w:kern w:val="0"/>
                <w:sz w:val="22"/>
              </w:rPr>
            </w:pPr>
            <w:r>
              <w:rPr>
                <w:rFonts w:hint="eastAsia" w:ascii="微软雅黑" w:hAnsi="微软雅黑" w:eastAsia="微软雅黑"/>
                <w:kern w:val="0"/>
                <w:sz w:val="22"/>
              </w:rPr>
              <w:t>采购服务名称</w:t>
            </w:r>
          </w:p>
        </w:tc>
        <w:tc>
          <w:tcPr>
            <w:tcW w:w="738" w:type="dxa"/>
          </w:tcPr>
          <w:p w14:paraId="52C25715">
            <w:pPr>
              <w:widowControl/>
              <w:jc w:val="center"/>
              <w:rPr>
                <w:rFonts w:hint="eastAsia" w:ascii="微软雅黑" w:hAnsi="微软雅黑" w:eastAsia="微软雅黑"/>
                <w:kern w:val="0"/>
                <w:sz w:val="22"/>
              </w:rPr>
            </w:pPr>
            <w:r>
              <w:rPr>
                <w:rFonts w:hint="eastAsia" w:ascii="微软雅黑" w:hAnsi="微软雅黑" w:eastAsia="微软雅黑"/>
                <w:kern w:val="0"/>
                <w:sz w:val="22"/>
              </w:rPr>
              <w:t>单位</w:t>
            </w:r>
          </w:p>
        </w:tc>
        <w:tc>
          <w:tcPr>
            <w:tcW w:w="1485" w:type="dxa"/>
          </w:tcPr>
          <w:p w14:paraId="04938F75">
            <w:pPr>
              <w:widowControl/>
              <w:jc w:val="center"/>
              <w:rPr>
                <w:rFonts w:hint="eastAsia" w:ascii="微软雅黑" w:hAnsi="微软雅黑" w:eastAsia="微软雅黑"/>
                <w:kern w:val="0"/>
                <w:sz w:val="22"/>
              </w:rPr>
            </w:pPr>
            <w:r>
              <w:rPr>
                <w:rFonts w:hint="eastAsia" w:ascii="微软雅黑" w:hAnsi="微软雅黑" w:eastAsia="微软雅黑"/>
                <w:kern w:val="0"/>
                <w:sz w:val="22"/>
              </w:rPr>
              <w:t>数量</w:t>
            </w:r>
          </w:p>
        </w:tc>
        <w:tc>
          <w:tcPr>
            <w:tcW w:w="4394" w:type="dxa"/>
          </w:tcPr>
          <w:p w14:paraId="2BF33247">
            <w:pPr>
              <w:widowControl/>
              <w:jc w:val="center"/>
              <w:rPr>
                <w:rFonts w:hint="eastAsia" w:ascii="微软雅黑" w:hAnsi="微软雅黑" w:eastAsia="微软雅黑"/>
                <w:kern w:val="0"/>
                <w:sz w:val="22"/>
              </w:rPr>
            </w:pPr>
            <w:r>
              <w:rPr>
                <w:rFonts w:hint="eastAsia" w:ascii="微软雅黑" w:hAnsi="微软雅黑" w:eastAsia="微软雅黑"/>
                <w:kern w:val="0"/>
                <w:sz w:val="22"/>
              </w:rPr>
              <w:t>技术要求</w:t>
            </w:r>
          </w:p>
        </w:tc>
      </w:tr>
      <w:tr w14:paraId="0A72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3CA0076D">
            <w:pPr>
              <w:jc w:val="both"/>
              <w:rPr>
                <w:rFonts w:hint="eastAsia" w:ascii="仿宋" w:hAnsi="仿宋" w:eastAsia="仿宋"/>
                <w:sz w:val="24"/>
                <w:szCs w:val="24"/>
              </w:rPr>
            </w:pPr>
            <w:r>
              <w:rPr>
                <w:rFonts w:hint="eastAsia" w:ascii="仿宋" w:hAnsi="仿宋" w:eastAsia="仿宋"/>
                <w:sz w:val="24"/>
                <w:szCs w:val="24"/>
                <w:lang w:eastAsia="zh-CN"/>
              </w:rPr>
              <w:t>西门子</w:t>
            </w:r>
            <w:r>
              <w:rPr>
                <w:rFonts w:hint="eastAsia" w:ascii="仿宋" w:hAnsi="仿宋" w:eastAsia="仿宋"/>
                <w:sz w:val="24"/>
                <w:szCs w:val="24"/>
                <w:lang w:val="en-US" w:eastAsia="zh-CN"/>
              </w:rPr>
              <w:t>1.5T核磁共振</w:t>
            </w:r>
            <w:r>
              <w:rPr>
                <w:rFonts w:hint="eastAsia" w:ascii="仿宋" w:hAnsi="仿宋" w:eastAsia="仿宋"/>
                <w:sz w:val="24"/>
                <w:szCs w:val="24"/>
              </w:rPr>
              <w:t>维保服务</w:t>
            </w:r>
          </w:p>
        </w:tc>
        <w:tc>
          <w:tcPr>
            <w:tcW w:w="738" w:type="dxa"/>
            <w:vAlign w:val="center"/>
          </w:tcPr>
          <w:p w14:paraId="6249AADA">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年</w:t>
            </w:r>
          </w:p>
        </w:tc>
        <w:tc>
          <w:tcPr>
            <w:tcW w:w="1485" w:type="dxa"/>
            <w:vAlign w:val="center"/>
          </w:tcPr>
          <w:p w14:paraId="3F2C4742">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1台（服务期两年，一年一签）</w:t>
            </w:r>
          </w:p>
        </w:tc>
        <w:tc>
          <w:tcPr>
            <w:tcW w:w="4394" w:type="dxa"/>
          </w:tcPr>
          <w:p w14:paraId="20B6958E">
            <w:pPr>
              <w:jc w:val="both"/>
              <w:rPr>
                <w:rFonts w:hint="eastAsia" w:ascii="仿宋" w:hAnsi="仿宋" w:eastAsia="仿宋"/>
                <w:sz w:val="24"/>
                <w:szCs w:val="24"/>
              </w:rPr>
            </w:pPr>
            <w:r>
              <w:rPr>
                <w:rFonts w:hint="eastAsia" w:ascii="仿宋" w:hAnsi="仿宋" w:eastAsia="仿宋"/>
                <w:sz w:val="24"/>
                <w:szCs w:val="24"/>
              </w:rPr>
              <w:t>服务要求</w:t>
            </w:r>
          </w:p>
          <w:p w14:paraId="1794359D">
            <w:pPr>
              <w:jc w:val="both"/>
              <w:rPr>
                <w:rFonts w:hint="eastAsia" w:ascii="仿宋" w:hAnsi="仿宋" w:eastAsia="仿宋"/>
                <w:sz w:val="24"/>
                <w:szCs w:val="24"/>
              </w:rPr>
            </w:pPr>
            <w:r>
              <w:rPr>
                <w:rFonts w:hint="eastAsia" w:ascii="仿宋" w:hAnsi="仿宋" w:eastAsia="仿宋"/>
                <w:sz w:val="24"/>
                <w:szCs w:val="24"/>
              </w:rPr>
              <w:t>1．服务支持机构</w:t>
            </w:r>
          </w:p>
          <w:p w14:paraId="2BD99763">
            <w:pPr>
              <w:jc w:val="both"/>
              <w:rPr>
                <w:rFonts w:hint="eastAsia" w:ascii="仿宋" w:hAnsi="仿宋" w:eastAsia="仿宋"/>
                <w:sz w:val="24"/>
                <w:szCs w:val="24"/>
              </w:rPr>
            </w:pPr>
            <w:r>
              <w:rPr>
                <w:rFonts w:hint="eastAsia" w:ascii="仿宋" w:hAnsi="仿宋" w:eastAsia="仿宋"/>
                <w:sz w:val="24"/>
                <w:szCs w:val="24"/>
              </w:rPr>
              <w:t>1.1客户服务400电话支持热线：提供800或400号码</w:t>
            </w:r>
          </w:p>
          <w:p w14:paraId="55917227">
            <w:pPr>
              <w:jc w:val="both"/>
              <w:rPr>
                <w:rFonts w:hint="eastAsia" w:ascii="仿宋" w:hAnsi="仿宋" w:eastAsia="仿宋"/>
                <w:sz w:val="24"/>
                <w:szCs w:val="24"/>
              </w:rPr>
            </w:pPr>
            <w:r>
              <w:rPr>
                <w:rFonts w:hint="eastAsia" w:ascii="仿宋" w:hAnsi="仿宋" w:eastAsia="仿宋"/>
                <w:sz w:val="24"/>
                <w:szCs w:val="24"/>
              </w:rPr>
              <w:t>1.2热线支持服务时间：24小时＊365天</w:t>
            </w:r>
          </w:p>
          <w:p w14:paraId="47D51D0E">
            <w:pPr>
              <w:jc w:val="both"/>
              <w:rPr>
                <w:rFonts w:hint="eastAsia" w:ascii="仿宋" w:hAnsi="仿宋" w:eastAsia="仿宋"/>
                <w:sz w:val="24"/>
                <w:szCs w:val="24"/>
              </w:rPr>
            </w:pPr>
            <w:r>
              <w:rPr>
                <w:rFonts w:hint="eastAsia" w:ascii="仿宋" w:hAnsi="仿宋" w:eastAsia="仿宋"/>
                <w:sz w:val="24"/>
                <w:szCs w:val="24"/>
              </w:rPr>
              <w:t>1.3客户服务中心热线服务人员：提供专职值班人员</w:t>
            </w:r>
          </w:p>
          <w:p w14:paraId="3A79A2DA">
            <w:pPr>
              <w:jc w:val="both"/>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．现场服务资质</w:t>
            </w:r>
          </w:p>
          <w:p w14:paraId="67696062">
            <w:pPr>
              <w:jc w:val="both"/>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2</w:t>
            </w:r>
            <w:r>
              <w:rPr>
                <w:rFonts w:hint="eastAsia" w:ascii="仿宋" w:hAnsi="仿宋" w:eastAsia="仿宋"/>
                <w:sz w:val="24"/>
                <w:szCs w:val="24"/>
              </w:rPr>
              <w:t>.1原生产厂家可直接参与投标；非设备生产厂家的投标人具备本设备生产厂商在有效期内的售后服务授权或技术合作协议</w:t>
            </w:r>
          </w:p>
          <w:p w14:paraId="50A36B9D">
            <w:pPr>
              <w:jc w:val="both"/>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2</w:t>
            </w:r>
            <w:r>
              <w:rPr>
                <w:rFonts w:hint="eastAsia" w:ascii="仿宋" w:hAnsi="仿宋" w:eastAsia="仿宋"/>
                <w:sz w:val="24"/>
                <w:szCs w:val="24"/>
              </w:rPr>
              <w:t>.2 贵州配备≥2名专职MR工程师，提供社保证明及设备生产厂家培训证书。</w:t>
            </w:r>
          </w:p>
          <w:p w14:paraId="2786A8B0">
            <w:pPr>
              <w:jc w:val="both"/>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 xml:space="preserve">.3工程师配备有专用工具：工程师的工具符国家检测和校准的规定 </w:t>
            </w:r>
          </w:p>
          <w:p w14:paraId="740240A6">
            <w:pPr>
              <w:jc w:val="both"/>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．备件保障能力</w:t>
            </w:r>
          </w:p>
          <w:p w14:paraId="157722E8">
            <w:pPr>
              <w:jc w:val="both"/>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.1国内备件库数量≥</w:t>
            </w:r>
            <w:r>
              <w:rPr>
                <w:rFonts w:hint="eastAsia" w:ascii="仿宋" w:hAnsi="仿宋" w:eastAsia="仿宋"/>
                <w:sz w:val="24"/>
                <w:szCs w:val="24"/>
                <w:lang w:val="en-US" w:eastAsia="zh-CN"/>
              </w:rPr>
              <w:t>1</w:t>
            </w:r>
            <w:r>
              <w:rPr>
                <w:rFonts w:hint="eastAsia" w:ascii="仿宋" w:hAnsi="仿宋" w:eastAsia="仿宋"/>
                <w:sz w:val="24"/>
                <w:szCs w:val="24"/>
              </w:rPr>
              <w:t>个</w:t>
            </w:r>
          </w:p>
          <w:p w14:paraId="1682E8D6">
            <w:pPr>
              <w:jc w:val="both"/>
              <w:rPr>
                <w:rFonts w:hint="eastAsia" w:ascii="仿宋" w:hAnsi="仿宋" w:eastAsia="仿宋"/>
                <w:sz w:val="24"/>
                <w:szCs w:val="24"/>
                <w:lang w:eastAsia="zh-CN"/>
              </w:rPr>
            </w:pPr>
            <w:r>
              <w:rPr>
                <w:rFonts w:hint="eastAsia" w:ascii="仿宋" w:hAnsi="仿宋" w:eastAsia="仿宋"/>
                <w:sz w:val="24"/>
                <w:szCs w:val="24"/>
              </w:rPr>
              <w:t>★</w:t>
            </w:r>
            <w:r>
              <w:rPr>
                <w:rFonts w:hint="eastAsia" w:ascii="仿宋" w:hAnsi="仿宋" w:eastAsia="仿宋"/>
                <w:sz w:val="24"/>
                <w:szCs w:val="24"/>
                <w:lang w:val="en-US" w:eastAsia="zh-CN"/>
              </w:rPr>
              <w:t>3</w:t>
            </w:r>
            <w:r>
              <w:rPr>
                <w:rFonts w:hint="eastAsia" w:ascii="仿宋" w:hAnsi="仿宋" w:eastAsia="仿宋"/>
                <w:sz w:val="24"/>
                <w:szCs w:val="24"/>
              </w:rPr>
              <w:t>.2国内备件库库房面积（提供证明）</w:t>
            </w:r>
            <w:r>
              <w:rPr>
                <w:rFonts w:hint="eastAsia" w:ascii="仿宋" w:hAnsi="仿宋" w:eastAsia="仿宋"/>
                <w:sz w:val="24"/>
                <w:szCs w:val="24"/>
                <w:lang w:val="en-US" w:eastAsia="zh-CN"/>
              </w:rPr>
              <w:t>.</w:t>
            </w:r>
          </w:p>
          <w:p w14:paraId="372B2951">
            <w:pPr>
              <w:jc w:val="both"/>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服务范围</w:t>
            </w:r>
          </w:p>
          <w:p w14:paraId="0DDCDE86">
            <w:pPr>
              <w:jc w:val="both"/>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.1安全检查：包含</w:t>
            </w:r>
          </w:p>
          <w:p w14:paraId="6D5162D7">
            <w:pPr>
              <w:jc w:val="both"/>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.2质量保证：包含</w:t>
            </w:r>
          </w:p>
          <w:p w14:paraId="6649B9BB">
            <w:pPr>
              <w:jc w:val="both"/>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4</w:t>
            </w:r>
            <w:r>
              <w:rPr>
                <w:rFonts w:hint="eastAsia" w:ascii="仿宋" w:hAnsi="仿宋" w:eastAsia="仿宋"/>
                <w:sz w:val="24"/>
                <w:szCs w:val="24"/>
              </w:rPr>
              <w:t>.3保养及保养所需耗材：每年</w:t>
            </w:r>
            <w:r>
              <w:rPr>
                <w:rFonts w:hint="eastAsia" w:ascii="仿宋" w:hAnsi="仿宋" w:eastAsia="仿宋"/>
                <w:sz w:val="24"/>
                <w:szCs w:val="24"/>
                <w:lang w:eastAsia="zh-CN"/>
              </w:rPr>
              <w:t>≥</w:t>
            </w:r>
            <w:r>
              <w:rPr>
                <w:rFonts w:hint="eastAsia" w:ascii="仿宋" w:hAnsi="仿宋" w:eastAsia="仿宋"/>
                <w:sz w:val="24"/>
                <w:szCs w:val="24"/>
              </w:rPr>
              <w:t>两次现场原厂标准保养，需提供保养报告。（保养耗材包括但不限于压缩机吸附器，射频计量表、水过滤器。）</w:t>
            </w:r>
          </w:p>
          <w:p w14:paraId="35671CDE">
            <w:pPr>
              <w:jc w:val="both"/>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4</w:t>
            </w:r>
            <w:r>
              <w:rPr>
                <w:rFonts w:hint="eastAsia" w:ascii="仿宋" w:hAnsi="仿宋" w:eastAsia="仿宋"/>
                <w:sz w:val="24"/>
                <w:szCs w:val="24"/>
              </w:rPr>
              <w:t>.4常规备件。（磁体、冷头、液氦、外水冷及其他厂家产品，再安装所需备品备件除外），更换备件必须是符合国家医疗器械管理条例要求的原厂全新备件（需提供相应证明文件）。</w:t>
            </w:r>
          </w:p>
          <w:p w14:paraId="13CB1871">
            <w:pPr>
              <w:jc w:val="both"/>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.5工时 ：次数无限制</w:t>
            </w:r>
          </w:p>
          <w:p w14:paraId="6E6AF758">
            <w:pPr>
              <w:jc w:val="both"/>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4</w:t>
            </w:r>
            <w:r>
              <w:rPr>
                <w:rFonts w:hint="eastAsia" w:ascii="仿宋" w:hAnsi="仿宋" w:eastAsia="仿宋"/>
                <w:sz w:val="24"/>
                <w:szCs w:val="24"/>
              </w:rPr>
              <w:t>.6 开机率保证 ≥95%</w:t>
            </w:r>
          </w:p>
          <w:p w14:paraId="65474522">
            <w:pPr>
              <w:jc w:val="both"/>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.7 安全升级</w:t>
            </w:r>
          </w:p>
          <w:p w14:paraId="34CF295E">
            <w:pPr>
              <w:jc w:val="both"/>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.8 智在远程服务（基于高速网络与专家端对接，享受在线诊断、升级、自动报告及应用支持）</w:t>
            </w:r>
          </w:p>
        </w:tc>
      </w:tr>
    </w:tbl>
    <w:p w14:paraId="555A895B">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OGIyYzRmM2UxZmNkODZkMDJkYjFlMjYyODA1YTcifQ=="/>
  </w:docVars>
  <w:rsids>
    <w:rsidRoot w:val="24D2209E"/>
    <w:rsid w:val="00494ACE"/>
    <w:rsid w:val="007B265A"/>
    <w:rsid w:val="00A55D11"/>
    <w:rsid w:val="00DA5D87"/>
    <w:rsid w:val="031A496A"/>
    <w:rsid w:val="038141F9"/>
    <w:rsid w:val="05C83698"/>
    <w:rsid w:val="087122ED"/>
    <w:rsid w:val="0A8A6F01"/>
    <w:rsid w:val="0BB574E9"/>
    <w:rsid w:val="0BC67500"/>
    <w:rsid w:val="0DF72211"/>
    <w:rsid w:val="0F227162"/>
    <w:rsid w:val="0F5C08A7"/>
    <w:rsid w:val="10964A94"/>
    <w:rsid w:val="10A62A18"/>
    <w:rsid w:val="11FF749C"/>
    <w:rsid w:val="16373051"/>
    <w:rsid w:val="165E7E7E"/>
    <w:rsid w:val="174F484D"/>
    <w:rsid w:val="179A4019"/>
    <w:rsid w:val="19520625"/>
    <w:rsid w:val="1A120022"/>
    <w:rsid w:val="1AD24378"/>
    <w:rsid w:val="1AE22727"/>
    <w:rsid w:val="1C042A1F"/>
    <w:rsid w:val="20784C33"/>
    <w:rsid w:val="22E542B8"/>
    <w:rsid w:val="24D2209E"/>
    <w:rsid w:val="26B72AA4"/>
    <w:rsid w:val="286474F6"/>
    <w:rsid w:val="2B202C91"/>
    <w:rsid w:val="2CCB451E"/>
    <w:rsid w:val="2D7D23EE"/>
    <w:rsid w:val="2DF60F5E"/>
    <w:rsid w:val="2F257DA7"/>
    <w:rsid w:val="2F5E036B"/>
    <w:rsid w:val="2F80457E"/>
    <w:rsid w:val="349E5471"/>
    <w:rsid w:val="38474F05"/>
    <w:rsid w:val="38D526E1"/>
    <w:rsid w:val="394B75AF"/>
    <w:rsid w:val="3C2B5111"/>
    <w:rsid w:val="3D626373"/>
    <w:rsid w:val="3DA7680A"/>
    <w:rsid w:val="455467A5"/>
    <w:rsid w:val="461E3079"/>
    <w:rsid w:val="46A139FD"/>
    <w:rsid w:val="481007AD"/>
    <w:rsid w:val="49E17296"/>
    <w:rsid w:val="4A2B5C50"/>
    <w:rsid w:val="4AC86916"/>
    <w:rsid w:val="4D8E366A"/>
    <w:rsid w:val="4DD454D1"/>
    <w:rsid w:val="4E8C54B1"/>
    <w:rsid w:val="4EC10F8B"/>
    <w:rsid w:val="4EDA651C"/>
    <w:rsid w:val="4FDE15A9"/>
    <w:rsid w:val="503C735D"/>
    <w:rsid w:val="51051655"/>
    <w:rsid w:val="51277097"/>
    <w:rsid w:val="51983E64"/>
    <w:rsid w:val="52816664"/>
    <w:rsid w:val="52A05BEE"/>
    <w:rsid w:val="52A13E2E"/>
    <w:rsid w:val="53D73699"/>
    <w:rsid w:val="54394300"/>
    <w:rsid w:val="54D97240"/>
    <w:rsid w:val="57A12B7B"/>
    <w:rsid w:val="58346B6C"/>
    <w:rsid w:val="59017396"/>
    <w:rsid w:val="5EE2701F"/>
    <w:rsid w:val="63B25E95"/>
    <w:rsid w:val="63D74F7B"/>
    <w:rsid w:val="6604073B"/>
    <w:rsid w:val="66102866"/>
    <w:rsid w:val="66D31996"/>
    <w:rsid w:val="688F3EA6"/>
    <w:rsid w:val="69887333"/>
    <w:rsid w:val="6A454942"/>
    <w:rsid w:val="6B8D689A"/>
    <w:rsid w:val="6C445178"/>
    <w:rsid w:val="6C97174C"/>
    <w:rsid w:val="6CFB554B"/>
    <w:rsid w:val="6E34121C"/>
    <w:rsid w:val="6E5F098F"/>
    <w:rsid w:val="6EFE6B64"/>
    <w:rsid w:val="6FF941E7"/>
    <w:rsid w:val="70B2124A"/>
    <w:rsid w:val="735E1713"/>
    <w:rsid w:val="75881A8D"/>
    <w:rsid w:val="782E6441"/>
    <w:rsid w:val="78C338C8"/>
    <w:rsid w:val="7C0B180E"/>
    <w:rsid w:val="7D3B1B2A"/>
    <w:rsid w:val="7F20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33"/>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4"/>
    <w:basedOn w:val="1"/>
    <w:next w:val="1"/>
    <w:autoRedefine/>
    <w:qFormat/>
    <w:uiPriority w:val="0"/>
    <w:pPr>
      <w:keepNext/>
      <w:keepLines/>
      <w:spacing w:before="120" w:after="120" w:line="360" w:lineRule="auto"/>
      <w:outlineLvl w:val="3"/>
    </w:pPr>
    <w:rPr>
      <w:rFonts w:ascii="Arial" w:hAnsi="Arial" w:eastAsia="宋体" w:cs="Times New Roman"/>
      <w:b/>
      <w:bCs/>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next w:val="1"/>
    <w:autoRedefine/>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6">
    <w:name w:val="Normal Indent"/>
    <w:basedOn w:val="1"/>
    <w:qFormat/>
    <w:uiPriority w:val="0"/>
    <w:pPr>
      <w:ind w:firstLine="420"/>
    </w:pPr>
  </w:style>
  <w:style w:type="paragraph" w:styleId="7">
    <w:name w:val="Body Text"/>
    <w:basedOn w:val="1"/>
    <w:autoRedefine/>
    <w:qFormat/>
    <w:uiPriority w:val="99"/>
    <w:pPr>
      <w:spacing w:before="0" w:beforeLines="0" w:after="0" w:afterLines="0" w:line="240" w:lineRule="auto"/>
      <w:ind w:firstLine="0" w:firstLineChars="0"/>
    </w:pPr>
    <w:rPr>
      <w:rFonts w:ascii="Helvetica" w:hAnsi="Helvetica" w:eastAsia="黑体" w:cs="Times New Roman"/>
      <w:i/>
      <w:iCs/>
      <w:sz w:val="21"/>
      <w:szCs w:val="20"/>
    </w:rPr>
  </w:style>
  <w:style w:type="paragraph" w:styleId="8">
    <w:name w:val="Body Text Indent"/>
    <w:basedOn w:val="1"/>
    <w:autoRedefine/>
    <w:qFormat/>
    <w:uiPriority w:val="0"/>
    <w:pPr>
      <w:spacing w:after="120" w:afterLines="0"/>
      <w:ind w:left="420" w:leftChars="200"/>
    </w:pPr>
  </w:style>
  <w:style w:type="paragraph" w:styleId="9">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0">
    <w:name w:val="footer"/>
    <w:basedOn w:val="1"/>
    <w:link w:val="24"/>
    <w:autoRedefine/>
    <w:qFormat/>
    <w:uiPriority w:val="0"/>
    <w:pPr>
      <w:tabs>
        <w:tab w:val="center" w:pos="4513"/>
        <w:tab w:val="right" w:pos="9026"/>
      </w:tabs>
      <w:snapToGrid w:val="0"/>
      <w:jc w:val="left"/>
    </w:pPr>
    <w:rPr>
      <w:sz w:val="18"/>
      <w:szCs w:val="18"/>
    </w:rPr>
  </w:style>
  <w:style w:type="paragraph" w:styleId="11">
    <w:name w:val="header"/>
    <w:basedOn w:val="1"/>
    <w:link w:val="23"/>
    <w:autoRedefine/>
    <w:qFormat/>
    <w:uiPriority w:val="0"/>
    <w:pPr>
      <w:tabs>
        <w:tab w:val="center" w:pos="4513"/>
        <w:tab w:val="right" w:pos="9026"/>
      </w:tabs>
      <w:snapToGrid w:val="0"/>
      <w:jc w:val="center"/>
    </w:pPr>
    <w:rPr>
      <w:sz w:val="18"/>
      <w:szCs w:val="18"/>
    </w:rPr>
  </w:style>
  <w:style w:type="paragraph" w:styleId="12">
    <w:name w:val="Normal (Web)"/>
    <w:basedOn w:val="1"/>
    <w:autoRedefine/>
    <w:qFormat/>
    <w:uiPriority w:val="99"/>
    <w:pPr>
      <w:widowControl/>
      <w:spacing w:before="100" w:beforeAutospacing="1" w:after="100" w:afterAutospacing="1"/>
      <w:jc w:val="left"/>
    </w:pPr>
    <w:rPr>
      <w:rFonts w:ascii="宋体" w:hAnsi="宋体" w:cs="宋体"/>
      <w:color w:val="000000"/>
      <w:kern w:val="0"/>
      <w:sz w:val="24"/>
    </w:rPr>
  </w:style>
  <w:style w:type="paragraph" w:styleId="13">
    <w:name w:val="Title"/>
    <w:basedOn w:val="1"/>
    <w:autoRedefine/>
    <w:qFormat/>
    <w:uiPriority w:val="0"/>
    <w:pPr>
      <w:spacing w:before="240" w:after="60"/>
      <w:jc w:val="center"/>
      <w:outlineLvl w:val="0"/>
    </w:pPr>
    <w:rPr>
      <w:rFonts w:ascii="Arial" w:hAnsi="Arial" w:cs="Times New Roman"/>
      <w:b/>
      <w:sz w:val="32"/>
    </w:rPr>
  </w:style>
  <w:style w:type="paragraph" w:styleId="14">
    <w:name w:val="Body Text First Indent 2"/>
    <w:basedOn w:val="8"/>
    <w:next w:val="1"/>
    <w:qFormat/>
    <w:uiPriority w:val="0"/>
    <w:pPr>
      <w:ind w:left="420" w:leftChars="200" w:firstLine="420" w:firstLineChars="200"/>
    </w:pPr>
    <w:rPr>
      <w:rFonts w:ascii="Times New Roman" w:hAnsi="Times New Roman" w:eastAsia="宋体" w:cs="Times New Roman"/>
      <w:szCs w:val="2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1"/>
    <w:basedOn w:val="1"/>
    <w:next w:val="8"/>
    <w:autoRedefine/>
    <w:qFormat/>
    <w:uiPriority w:val="0"/>
    <w:pPr>
      <w:widowControl w:val="0"/>
      <w:jc w:val="both"/>
    </w:pPr>
    <w:rPr>
      <w:rFonts w:ascii="宋体" w:hAnsi="Courier New"/>
      <w:kern w:val="2"/>
    </w:rPr>
  </w:style>
  <w:style w:type="paragraph" w:customStyle="1" w:styleId="19">
    <w:name w:val="font5"/>
    <w:basedOn w:val="1"/>
    <w:autoRedefine/>
    <w:qFormat/>
    <w:uiPriority w:val="0"/>
    <w:pPr>
      <w:spacing w:before="100" w:beforeLines="0" w:beforeAutospacing="1" w:after="100" w:afterLines="0" w:afterAutospacing="1"/>
    </w:pPr>
    <w:rPr>
      <w:rFonts w:ascii="宋体" w:hAnsi="宋体" w:cs="宋体"/>
      <w:sz w:val="18"/>
      <w:szCs w:val="18"/>
    </w:rPr>
  </w:style>
  <w:style w:type="paragraph" w:customStyle="1" w:styleId="20">
    <w:name w:val="表格文字"/>
    <w:basedOn w:val="1"/>
    <w:autoRedefine/>
    <w:qFormat/>
    <w:uiPriority w:val="0"/>
    <w:pPr>
      <w:spacing w:before="25" w:after="25"/>
    </w:pPr>
    <w:rPr>
      <w:bCs/>
      <w:spacing w:val="10"/>
      <w:kern w:val="0"/>
    </w:rPr>
  </w:style>
  <w:style w:type="paragraph" w:customStyle="1" w:styleId="21">
    <w:name w:val="Default"/>
    <w:autoRedefine/>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22">
    <w:name w:val="No Spacing"/>
    <w:autoRedefine/>
    <w:qFormat/>
    <w:uiPriority w:val="1"/>
    <w:rPr>
      <w:rFonts w:ascii="Calibri" w:hAnsi="Calibri" w:eastAsia="宋体" w:cs="Times New Roman"/>
      <w:sz w:val="22"/>
      <w:szCs w:val="22"/>
      <w:lang w:val="en-US" w:eastAsia="zh-CN" w:bidi="ar-SA"/>
    </w:rPr>
  </w:style>
  <w:style w:type="character" w:customStyle="1" w:styleId="23">
    <w:name w:val="页眉 字符"/>
    <w:basedOn w:val="17"/>
    <w:link w:val="11"/>
    <w:autoRedefine/>
    <w:qFormat/>
    <w:uiPriority w:val="0"/>
    <w:rPr>
      <w:rFonts w:ascii="Calibri" w:hAnsi="Calibri" w:eastAsia="宋体" w:cs="Times New Roman"/>
      <w:kern w:val="2"/>
      <w:sz w:val="18"/>
      <w:szCs w:val="18"/>
    </w:rPr>
  </w:style>
  <w:style w:type="character" w:customStyle="1" w:styleId="24">
    <w:name w:val="页脚 字符"/>
    <w:basedOn w:val="17"/>
    <w:link w:val="10"/>
    <w:autoRedefine/>
    <w:qFormat/>
    <w:uiPriority w:val="0"/>
    <w:rPr>
      <w:rFonts w:ascii="Calibri" w:hAnsi="Calibri" w:eastAsia="宋体" w:cs="Times New Roman"/>
      <w:kern w:val="2"/>
      <w:sz w:val="18"/>
      <w:szCs w:val="18"/>
    </w:rPr>
  </w:style>
  <w:style w:type="paragraph" w:customStyle="1" w:styleId="25">
    <w:name w:val="Body text|1"/>
    <w:basedOn w:val="1"/>
    <w:autoRedefine/>
    <w:qFormat/>
    <w:uiPriority w:val="0"/>
    <w:pPr>
      <w:widowControl w:val="0"/>
      <w:shd w:val="clear" w:color="auto" w:fill="auto"/>
      <w:spacing w:after="380"/>
      <w:jc w:val="center"/>
    </w:pPr>
    <w:rPr>
      <w:rFonts w:ascii="宋体" w:hAnsi="宋体" w:eastAsia="宋体" w:cs="宋体"/>
      <w:color w:val="64676B"/>
      <w:sz w:val="30"/>
      <w:szCs w:val="30"/>
      <w:u w:val="none"/>
      <w:shd w:val="clear" w:color="auto" w:fill="auto"/>
      <w:lang w:val="zh-TW" w:eastAsia="zh-TW" w:bidi="zh-TW"/>
    </w:rPr>
  </w:style>
  <w:style w:type="paragraph" w:customStyle="1" w:styleId="26">
    <w:name w:val="Other|1"/>
    <w:basedOn w:val="1"/>
    <w:autoRedefine/>
    <w:qFormat/>
    <w:uiPriority w:val="0"/>
    <w:pPr>
      <w:widowControl w:val="0"/>
      <w:shd w:val="clear" w:color="auto" w:fill="auto"/>
    </w:pPr>
    <w:rPr>
      <w:rFonts w:ascii="宋体" w:hAnsi="宋体" w:eastAsia="宋体" w:cs="宋体"/>
      <w:color w:val="7D7E84"/>
      <w:sz w:val="20"/>
      <w:szCs w:val="20"/>
      <w:u w:val="none"/>
      <w:shd w:val="clear" w:color="auto" w:fill="auto"/>
      <w:lang w:val="zh-TW" w:eastAsia="zh-TW" w:bidi="zh-TW"/>
    </w:rPr>
  </w:style>
  <w:style w:type="paragraph" w:styleId="27">
    <w:name w:val="List Paragraph"/>
    <w:basedOn w:val="1"/>
    <w:autoRedefine/>
    <w:qFormat/>
    <w:uiPriority w:val="34"/>
    <w:pPr>
      <w:ind w:firstLine="420" w:firstLineChars="200"/>
    </w:pPr>
  </w:style>
  <w:style w:type="paragraph" w:customStyle="1" w:styleId="28">
    <w:name w:val="null3"/>
    <w:autoRedefine/>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9">
    <w:name w:val="正文_0"/>
    <w:autoRedefine/>
    <w:qFormat/>
    <w:uiPriority w:val="0"/>
    <w:pPr>
      <w:widowControl w:val="0"/>
      <w:jc w:val="both"/>
    </w:pPr>
    <w:rPr>
      <w:rFonts w:ascii="Times New Roman" w:hAnsi="Times New Roman" w:eastAsia="微软雅黑" w:cs="Times New Roman"/>
      <w:kern w:val="2"/>
      <w:sz w:val="21"/>
      <w:lang w:val="en-US" w:eastAsia="zh-CN" w:bidi="ar-SA"/>
    </w:rPr>
  </w:style>
  <w:style w:type="paragraph" w:customStyle="1" w:styleId="30">
    <w:name w:val="Plain Text"/>
    <w:basedOn w:val="1"/>
    <w:qFormat/>
    <w:uiPriority w:val="0"/>
    <w:rPr>
      <w:rFonts w:ascii="宋体" w:hAnsi="Courier New"/>
      <w:sz w:val="24"/>
      <w:szCs w:val="20"/>
    </w:rPr>
  </w:style>
  <w:style w:type="paragraph" w:customStyle="1" w:styleId="31">
    <w:name w:val="Date"/>
    <w:basedOn w:val="1"/>
    <w:next w:val="1"/>
    <w:qFormat/>
    <w:uiPriority w:val="0"/>
    <w:rPr>
      <w:rFonts w:ascii="Arial" w:hAnsi="Arial" w:eastAsia="KaiTi_GB2312"/>
      <w:sz w:val="28"/>
      <w:szCs w:val="20"/>
    </w:rPr>
  </w:style>
  <w:style w:type="paragraph" w:customStyle="1" w:styleId="32">
    <w:name w:val="列出段落1"/>
    <w:basedOn w:val="1"/>
    <w:qFormat/>
    <w:uiPriority w:val="34"/>
    <w:pPr>
      <w:ind w:firstLine="420" w:firstLineChars="200"/>
      <w:jc w:val="left"/>
    </w:pPr>
    <w:rPr>
      <w:rFonts w:ascii="Courier New" w:hAnsi="Courier New"/>
      <w:snapToGrid w:val="0"/>
      <w:kern w:val="0"/>
      <w:sz w:val="24"/>
      <w:szCs w:val="20"/>
      <w:lang w:eastAsia="en-US"/>
    </w:rPr>
  </w:style>
  <w:style w:type="character" w:customStyle="1" w:styleId="33">
    <w:name w:val="标题 2 Char"/>
    <w:basedOn w:val="17"/>
    <w:link w:val="3"/>
    <w:autoRedefine/>
    <w:qFormat/>
    <w:uiPriority w:val="9"/>
    <w:rPr>
      <w:rFonts w:ascii="Arial" w:hAnsi="Arial" w:eastAsia="黑体"/>
      <w:b/>
      <w:bCs/>
      <w:sz w:val="32"/>
      <w:szCs w:val="32"/>
    </w:rPr>
  </w:style>
  <w:style w:type="paragraph" w:customStyle="1" w:styleId="34">
    <w:name w:val="p15"/>
    <w:basedOn w:val="1"/>
    <w:qFormat/>
    <w:uiPriority w:val="0"/>
    <w:pPr>
      <w:adjustRightInd w:val="0"/>
    </w:pPr>
    <w:rPr>
      <w:rFonts w:ascii="Arial Unicode MS" w:hAnsi="Arial Unicode MS" w:cs="宋体"/>
      <w:color w:val="00000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633</Words>
  <Characters>671</Characters>
  <Lines>8</Lines>
  <Paragraphs>2</Paragraphs>
  <TotalTime>7</TotalTime>
  <ScaleCrop>false</ScaleCrop>
  <LinksUpToDate>false</LinksUpToDate>
  <CharactersWithSpaces>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2023-07-10T10:50:00Z</dcterms:created>
  <dc:creator>农人</dc:creator>
  <cp:lastModifiedBy>农人</cp:lastModifiedBy>
  <dcterms:modified xsi:type="dcterms:W3CDTF">2025-10-11T01:42:11Z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B72828CE7D3B46E88D21F4F52CD1E776_13</vt:lpwstr>
  </property>
  <property fmtid="{D5CDD505-2E9C-101B-9397-08002B2CF9AE}" pid="4" name="KSOTemplateDocerSaveRecord">
    <vt:lpwstr>eyJoZGlkIjoiZTYyMDczZGRhZjNiZjg5MTJhMWY4ZmJkZjE0ODlhZjQiLCJ1c2VySWQiOiIyNzE2NTk1MjcifQ==</vt:lpwstr>
  </property>
</Properties>
</file>