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024E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1B3C5C"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b/>
                <w:bCs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贵州航天医院竞争性磋商公告</w:t>
            </w:r>
          </w:p>
        </w:tc>
      </w:tr>
      <w:tr w14:paraId="08F37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C146FB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一、项目基本情况：</w:t>
            </w:r>
          </w:p>
        </w:tc>
      </w:tr>
      <w:tr w14:paraId="261E4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728600">
            <w:pPr>
              <w:keepNext w:val="0"/>
              <w:keepLines w:val="0"/>
              <w:widowControl/>
              <w:suppressLineNumbers w:val="0"/>
              <w:jc w:val="left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项目名称：贵州航天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医院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麻醉科医疗设备一批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采购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项目</w:t>
            </w:r>
          </w:p>
        </w:tc>
      </w:tr>
      <w:tr w14:paraId="4746C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619D9C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采购方式：竞争性磋商</w:t>
            </w:r>
          </w:p>
        </w:tc>
      </w:tr>
      <w:tr w14:paraId="21FB5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588DEB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预算金额：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见附件1</w:t>
            </w:r>
          </w:p>
        </w:tc>
      </w:tr>
      <w:tr w14:paraId="02D50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DB5180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最高限价：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见附件1</w:t>
            </w:r>
          </w:p>
        </w:tc>
      </w:tr>
      <w:tr w14:paraId="07E58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20AE93">
            <w:pPr>
              <w:pStyle w:val="20"/>
              <w:ind w:firstLine="480" w:firstLineChars="200"/>
              <w:rPr>
                <w:rFonts w:hint="default"/>
                <w:lang w:val="en-US" w:eastAsia="zh-CN"/>
              </w:rPr>
            </w:pPr>
            <w:r>
              <w:rPr>
                <w:rFonts w:eastAsia="FangSong_GB2312" w:asciiTheme="minorHAnsi" w:hAnsiTheme="minorHAnsi" w:cstheme="minorHAnsi"/>
                <w:lang w:bidi="ar"/>
              </w:rPr>
              <w:t>采购需求：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麻醉科医疗设备一批（</w:t>
            </w:r>
            <w:r>
              <w:rPr>
                <w:rFonts w:hint="eastAsia" w:eastAsia="FangSong_GB2312" w:asciiTheme="minorHAnsi" w:hAnsiTheme="minorHAnsi" w:cstheme="minorHAnsi"/>
                <w:lang w:val="en-US" w:eastAsia="zh-CN" w:bidi="ar"/>
              </w:rPr>
              <w:t>该项目为分项投标）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，评分方法见附件2、设备参数要求见附件3</w:t>
            </w:r>
          </w:p>
        </w:tc>
      </w:tr>
      <w:tr w14:paraId="38B15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0CE5F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合同履行期限：合同签订之日起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15个工作日内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履行</w:t>
            </w:r>
          </w:p>
        </w:tc>
      </w:tr>
      <w:tr w14:paraId="3DF57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2E49AF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交货地点或服务地点：贵州航天医院</w:t>
            </w:r>
          </w:p>
        </w:tc>
      </w:tr>
      <w:tr w14:paraId="7791B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552DE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二、投标人资格要求：</w:t>
            </w:r>
          </w:p>
        </w:tc>
      </w:tr>
      <w:tr w14:paraId="62D49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EFC28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提供独立承担民事责任的能力，如营业执照、自然人身份证明等</w:t>
            </w:r>
          </w:p>
        </w:tc>
      </w:tr>
      <w:tr w14:paraId="2846F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8F3B1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具有良好的商业信誉和健全的财务制度，具体要求（如财务报表等）</w:t>
            </w:r>
          </w:p>
        </w:tc>
      </w:tr>
      <w:tr w14:paraId="355B2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8927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具有履行合同所必须的设备和专业技术能力（资料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及产品授权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）</w:t>
            </w:r>
          </w:p>
        </w:tc>
      </w:tr>
      <w:tr w14:paraId="34FBC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0C5B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具有依法缴纳税收和社会保障金的良好记录</w:t>
            </w:r>
          </w:p>
        </w:tc>
      </w:tr>
      <w:tr w14:paraId="477D5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80F10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参加政府采购活动前三年内，在经营活动中没有重大违法记录（书面证明）</w:t>
            </w:r>
          </w:p>
        </w:tc>
      </w:tr>
      <w:tr w14:paraId="1E3B8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BD93F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不是失信被执行人、重大税收违法案件当事人、政府采购严重违法失信行为人等的承诺或资料</w:t>
            </w:r>
          </w:p>
        </w:tc>
      </w:tr>
      <w:tr w14:paraId="44931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933E8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是否接受联合体投标：否</w:t>
            </w:r>
          </w:p>
        </w:tc>
      </w:tr>
      <w:tr w14:paraId="735CB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14EA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三、获取采购文件</w:t>
            </w:r>
          </w:p>
        </w:tc>
      </w:tr>
      <w:tr w14:paraId="08815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510A2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个工作日内</w:t>
            </w:r>
          </w:p>
        </w:tc>
      </w:tr>
      <w:tr w14:paraId="52269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E3479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获取采购文件的地点或方式：挂网公告</w:t>
            </w:r>
          </w:p>
        </w:tc>
      </w:tr>
      <w:tr w14:paraId="2C950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16E57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是否交纳投标保证金（交纳方式）：否</w:t>
            </w:r>
          </w:p>
        </w:tc>
      </w:tr>
      <w:tr w14:paraId="2F1A2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A3AC5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四、响应文件提交</w:t>
            </w:r>
          </w:p>
        </w:tc>
      </w:tr>
      <w:tr w14:paraId="6C2AE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B92BC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截止时间：自本公告发布之日起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个工作日内</w:t>
            </w:r>
          </w:p>
        </w:tc>
      </w:tr>
      <w:tr w14:paraId="5929A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7F185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地点：贵州航天医院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外科综合楼一楼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医学装备部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赵老师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收，联系电话：0851-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27677989</w:t>
            </w:r>
          </w:p>
        </w:tc>
      </w:tr>
      <w:tr w14:paraId="5AA8D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2E34E"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开启：（是否见面、纸质或电子）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纸质版密封</w:t>
            </w:r>
          </w:p>
        </w:tc>
      </w:tr>
      <w:tr w14:paraId="176FD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F855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五、联系人及联系方式：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采购办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老师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，联系电话：0851-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27677989</w:t>
            </w:r>
          </w:p>
        </w:tc>
      </w:tr>
    </w:tbl>
    <w:p w14:paraId="7CC65435">
      <w:pPr>
        <w:jc w:val="left"/>
        <w:rPr>
          <w:rFonts w:hint="eastAsia"/>
          <w:b/>
          <w:bCs/>
          <w:sz w:val="30"/>
          <w:szCs w:val="30"/>
          <w:lang w:eastAsia="zh-CN"/>
        </w:rPr>
      </w:pPr>
    </w:p>
    <w:p w14:paraId="26430505">
      <w:pPr>
        <w:jc w:val="left"/>
        <w:rPr>
          <w:rFonts w:hint="eastAsia"/>
          <w:b/>
          <w:bCs/>
          <w:sz w:val="30"/>
          <w:szCs w:val="30"/>
          <w:lang w:eastAsia="zh-CN"/>
        </w:rPr>
      </w:pPr>
    </w:p>
    <w:p w14:paraId="26A7AE86">
      <w:pPr>
        <w:jc w:val="left"/>
        <w:rPr>
          <w:rFonts w:hint="eastAsia"/>
          <w:b/>
          <w:bCs/>
          <w:sz w:val="30"/>
          <w:szCs w:val="30"/>
          <w:lang w:eastAsia="zh-CN"/>
        </w:rPr>
      </w:pPr>
    </w:p>
    <w:p w14:paraId="0D4FB766">
      <w:pPr>
        <w:jc w:val="left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附件1：麻醉科采购设备名称及数量</w:t>
      </w:r>
    </w:p>
    <w:tbl>
      <w:tblPr>
        <w:tblStyle w:val="14"/>
        <w:tblW w:w="530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1018"/>
        <w:gridCol w:w="3578"/>
        <w:gridCol w:w="577"/>
        <w:gridCol w:w="955"/>
        <w:gridCol w:w="1090"/>
      </w:tblGrid>
      <w:tr w14:paraId="225DC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4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科室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3E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申请设备名称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96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22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申请数量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0B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拦标价</w:t>
            </w:r>
          </w:p>
          <w:p w14:paraId="6289E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(万元）</w:t>
            </w:r>
          </w:p>
        </w:tc>
      </w:tr>
      <w:tr w14:paraId="7F5B8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00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2B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麻醉科</w:t>
            </w:r>
          </w:p>
          <w:p w14:paraId="317FBAD1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（分项投标）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45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A3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体位垫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09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89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5F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 w14:paraId="24280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006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D15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09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87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体位架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A5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AA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1C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 w14:paraId="58E27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006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161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A6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3A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医用输血输液加温器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47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FD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9C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 w14:paraId="7F806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006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AEB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8D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13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医用升温毯(充气式)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86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66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A6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 w14:paraId="22742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006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9C4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98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14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高频电刀(单双极均有)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98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52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97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</w:tr>
      <w:tr w14:paraId="5DDA7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00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75F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46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E4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自体血液回收机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06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EB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8C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</w:tr>
    </w:tbl>
    <w:p w14:paraId="66928FC0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0D9CDC59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4E729319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4E2C4651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1B589457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1446CA97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3DFB0DF7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67243745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7059070B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0B5FBA7D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0D525CDE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5DFB917E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235A8816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4A537969">
      <w:pPr>
        <w:pStyle w:val="9"/>
        <w:spacing w:before="0" w:beforeAutospacing="0" w:after="0" w:afterAutospacing="0" w:line="440" w:lineRule="exact"/>
        <w:jc w:val="left"/>
        <w:rPr>
          <w:rFonts w:hint="default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附件2：评分方法</w:t>
      </w:r>
    </w:p>
    <w:tbl>
      <w:tblPr>
        <w:tblStyle w:val="14"/>
        <w:tblpPr w:leftFromText="180" w:rightFromText="180" w:vertAnchor="page" w:horzAnchor="margin" w:tblpX="-472" w:tblpY="2533"/>
        <w:tblOverlap w:val="never"/>
        <w:tblW w:w="93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"/>
        <w:gridCol w:w="2298"/>
        <w:gridCol w:w="1642"/>
        <w:gridCol w:w="1740"/>
        <w:gridCol w:w="1545"/>
        <w:gridCol w:w="1770"/>
      </w:tblGrid>
      <w:tr w14:paraId="079F5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41" w:hRule="atLeast"/>
        </w:trPr>
        <w:tc>
          <w:tcPr>
            <w:tcW w:w="2657" w:type="dxa"/>
            <w:gridSpan w:val="2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  <w:tl2br w:val="single" w:color="000000" w:sz="4" w:space="0"/>
            </w:tcBorders>
            <w:shd w:val="clear" w:color="auto" w:fill="FFFFFF"/>
            <w:noWrap w:val="0"/>
            <w:vAlign w:val="top"/>
          </w:tcPr>
          <w:p w14:paraId="66398B72">
            <w:pPr>
              <w:ind w:right="630"/>
              <w:jc w:val="right"/>
              <w:rPr>
                <w:rFonts w:ascii="宋体"/>
                <w:color w:val="000000"/>
                <w:szCs w:val="20"/>
              </w:rPr>
            </w:pPr>
            <w:r>
              <w:rPr>
                <w:rFonts w:hint="eastAsia" w:ascii="宋体"/>
                <w:color w:val="000000"/>
                <w:szCs w:val="20"/>
              </w:rPr>
              <w:t>投标单位</w:t>
            </w:r>
          </w:p>
          <w:p w14:paraId="235324E1">
            <w:pPr>
              <w:rPr>
                <w:rFonts w:ascii="宋体"/>
                <w:color w:val="000000"/>
                <w:szCs w:val="20"/>
              </w:rPr>
            </w:pPr>
            <w:r>
              <w:rPr>
                <w:rFonts w:hint="eastAsia" w:ascii="宋体"/>
                <w:color w:val="000000"/>
                <w:szCs w:val="20"/>
              </w:rPr>
              <w:t>分值</w:t>
            </w:r>
          </w:p>
        </w:tc>
        <w:tc>
          <w:tcPr>
            <w:tcW w:w="1642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0A6B05">
            <w:pPr>
              <w:jc w:val="center"/>
              <w:rPr>
                <w:rFonts w:hint="default" w:ascii="宋体" w:eastAsia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  <w:tc>
          <w:tcPr>
            <w:tcW w:w="1740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892EB2">
            <w:pPr>
              <w:jc w:val="center"/>
              <w:rPr>
                <w:rFonts w:hint="default" w:ascii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  <w:tc>
          <w:tcPr>
            <w:tcW w:w="1545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2DBCB2">
            <w:pPr>
              <w:jc w:val="center"/>
              <w:rPr>
                <w:rFonts w:hint="default" w:ascii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  <w:tc>
          <w:tcPr>
            <w:tcW w:w="1770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BA393B">
            <w:pPr>
              <w:jc w:val="center"/>
              <w:rPr>
                <w:rFonts w:hint="default" w:ascii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</w:tr>
      <w:tr w14:paraId="564CE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2657" w:type="dxa"/>
            <w:gridSpan w:val="2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7AFD12F">
            <w:pPr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代理品牌或型号</w:t>
            </w:r>
          </w:p>
        </w:tc>
        <w:tc>
          <w:tcPr>
            <w:tcW w:w="1642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5036548">
            <w:pPr>
              <w:jc w:val="center"/>
              <w:rPr>
                <w:rFonts w:hint="default" w:ascii="宋体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3714734">
            <w:pPr>
              <w:jc w:val="center"/>
              <w:rPr>
                <w:rFonts w:hint="default" w:asci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79F112FA">
            <w:pPr>
              <w:jc w:val="center"/>
              <w:rPr>
                <w:rFonts w:hint="default" w:asci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70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BB78E2B">
            <w:pPr>
              <w:jc w:val="center"/>
              <w:rPr>
                <w:rFonts w:hint="default" w:asci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7E6EF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</w:trPr>
        <w:tc>
          <w:tcPr>
            <w:tcW w:w="3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7AF568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商</w:t>
            </w:r>
          </w:p>
          <w:p w14:paraId="4C5887A8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务</w:t>
            </w:r>
          </w:p>
          <w:p w14:paraId="6B0B810C">
            <w:pPr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分15分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CCBF60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公司业绩（满分3分)</w:t>
            </w:r>
          </w:p>
          <w:p w14:paraId="5C16C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每提供一条相同产品业绩得一分，满分3分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B85F0C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3357C1">
            <w:pPr>
              <w:spacing w:line="400" w:lineRule="exact"/>
              <w:jc w:val="center"/>
              <w:rPr>
                <w:rFonts w:hint="default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E23D6A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4BA5BC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  <w:lang w:val="en-US" w:eastAsia="zh-CN"/>
              </w:rPr>
            </w:pPr>
          </w:p>
        </w:tc>
      </w:tr>
      <w:tr w14:paraId="52497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7" w:hRule="atLeast"/>
        </w:trPr>
        <w:tc>
          <w:tcPr>
            <w:tcW w:w="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832409C">
            <w:pPr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8561763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保修时效（满分12分)</w:t>
            </w:r>
          </w:p>
          <w:p w14:paraId="4C73E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在基础保修一年的基础上每增加一年得3分，满分12分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4F56DB5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92A3D6C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9D7D0D4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5BB03AA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14:paraId="2BFFE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</w:trPr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EFC14B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价</w:t>
            </w:r>
          </w:p>
          <w:p w14:paraId="3F1A23BC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格</w:t>
            </w:r>
          </w:p>
          <w:p w14:paraId="5B45F54E">
            <w:pPr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分35分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23B54E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产品报价（满分35分)</w:t>
            </w:r>
          </w:p>
          <w:p w14:paraId="39A82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报价最低得满分35分，按报价高低依次递减3分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6737AC">
            <w:pPr>
              <w:spacing w:line="400" w:lineRule="exact"/>
              <w:jc w:val="left"/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</w:pPr>
          </w:p>
          <w:p w14:paraId="50FA0598">
            <w:pPr>
              <w:spacing w:line="400" w:lineRule="exact"/>
              <w:jc w:val="left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EF9366">
            <w:pPr>
              <w:spacing w:line="400" w:lineRule="exact"/>
              <w:jc w:val="left"/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</w:pPr>
          </w:p>
          <w:p w14:paraId="796A10FE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566F0F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AB5E368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14:paraId="38F9C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7" w:hRule="atLeast"/>
        </w:trPr>
        <w:tc>
          <w:tcPr>
            <w:tcW w:w="3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0DBB9D55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设备性能</w:t>
            </w:r>
          </w:p>
          <w:p w14:paraId="01B52665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满意度</w:t>
            </w:r>
          </w:p>
          <w:p w14:paraId="5BFBA88B">
            <w:pPr>
              <w:rPr>
                <w:rFonts w:hint="default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50分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EB2FA0A">
            <w:pPr>
              <w:widowControl/>
              <w:spacing w:line="240" w:lineRule="exact"/>
              <w:rPr>
                <w:rFonts w:hint="default" w:ascii="宋体"/>
                <w:color w:val="000000"/>
                <w:szCs w:val="20"/>
                <w:lang w:val="en-US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满足技术参数（满分40分)</w:t>
            </w: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每一条参数不满足扣2分扣完为止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A53B4DB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F8D7104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7EE34141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5A625A4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002BF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7" w:hRule="atLeast"/>
        </w:trPr>
        <w:tc>
          <w:tcPr>
            <w:tcW w:w="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6B2794"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7654A1">
            <w:pPr>
              <w:rPr>
                <w:rFonts w:hint="default" w:ascii="宋体" w:eastAsia="宋体"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服务方案满意度（满分10分)</w:t>
            </w: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优10~7分、良6~4分、一般3~0分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BCD2A8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93F4A8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900046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704A4F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3ED2C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3" w:hRule="atLeast"/>
        </w:trPr>
        <w:tc>
          <w:tcPr>
            <w:tcW w:w="2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C2643D4">
            <w:pPr>
              <w:spacing w:line="400" w:lineRule="exact"/>
              <w:jc w:val="center"/>
              <w:rPr>
                <w:rFonts w:hint="eastAsia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备注：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759E92F7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DDF580E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C95AE6E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B488219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</w:tr>
      <w:tr w14:paraId="34425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2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779613E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得</w:t>
            </w:r>
            <w:r>
              <w:rPr>
                <w:rFonts w:hint="eastAsia" w:ascii="宋体"/>
                <w:color w:val="000000"/>
                <w:szCs w:val="21"/>
              </w:rPr>
              <w:t>分：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1736B77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00E8F928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65AD0A7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00A416C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</w:tr>
    </w:tbl>
    <w:p w14:paraId="1CF065A9">
      <w:pPr>
        <w:pStyle w:val="9"/>
        <w:spacing w:before="0" w:beforeAutospacing="0" w:after="0" w:afterAutospacing="0" w:line="440" w:lineRule="exact"/>
        <w:jc w:val="both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19EA0839">
      <w:pPr>
        <w:rPr>
          <w:rFonts w:hint="eastAsia" w:cs="宋体"/>
          <w:b/>
          <w:bCs/>
          <w:sz w:val="30"/>
          <w:szCs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D05470B">
      <w:pPr>
        <w:pStyle w:val="9"/>
        <w:spacing w:before="0" w:beforeAutospacing="0" w:after="0" w:afterAutospacing="0" w:line="440" w:lineRule="exact"/>
        <w:jc w:val="left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附件3：采购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技术参数</w:t>
      </w:r>
      <w:r>
        <w:rPr>
          <w:rFonts w:hint="eastAsia" w:cs="宋体"/>
          <w:b/>
          <w:bCs/>
          <w:sz w:val="30"/>
          <w:szCs w:val="30"/>
          <w:lang w:eastAsia="zh-CN"/>
        </w:rPr>
        <w:t>（</w:t>
      </w:r>
      <w:r>
        <w:rPr>
          <w:rFonts w:hint="eastAsia" w:cs="宋体"/>
          <w:b/>
          <w:bCs/>
          <w:sz w:val="30"/>
          <w:szCs w:val="30"/>
          <w:lang w:val="en-US" w:eastAsia="zh-CN"/>
        </w:rPr>
        <w:t>需提供技术参数偏离表）</w:t>
      </w:r>
      <w:bookmarkStart w:id="0" w:name="_GoBack"/>
      <w:bookmarkEnd w:id="0"/>
    </w:p>
    <w:p w14:paraId="188310AE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一、体位垫</w:t>
      </w:r>
    </w:p>
    <w:tbl>
      <w:tblPr>
        <w:tblStyle w:val="1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896"/>
        <w:gridCol w:w="738"/>
        <w:gridCol w:w="3623"/>
        <w:gridCol w:w="1060"/>
      </w:tblGrid>
      <w:tr w14:paraId="4DB4D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76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体位垫需求明细表</w:t>
            </w:r>
          </w:p>
        </w:tc>
      </w:tr>
      <w:tr w14:paraId="40E9C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53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F0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6A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52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91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765AE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50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B4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甲状腺垫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44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5B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48*39*8cm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41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凝胶材质</w:t>
            </w:r>
          </w:p>
        </w:tc>
      </w:tr>
      <w:tr w14:paraId="336E8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10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36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圆形头圈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A5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8F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20*7*5cm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7199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07E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53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05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开放式头圈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07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F5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10*4*2.5cm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635F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7C1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09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59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俯卧头垫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9B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AC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23*20*11cm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649A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EC6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09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CD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上肢垫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A1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47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50*15*1.5cm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DDFF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EAD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B5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BC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通用方垫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2D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48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50*30*1.5cm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7FA4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0CC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2B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D7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通用方垫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E1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BF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75*50*2cm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7CE8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018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B8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7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枕型垫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EA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B0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35*11*5 cm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0E20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11A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07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A6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跟骨垫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60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BC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15*8*4.5cm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0DD8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419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21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6F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侧卧位垫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D6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AD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72*46*15cm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24C8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9B2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28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91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可调俯卧位垫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2E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EC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63*（41-51）*18cm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087C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1C8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3B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B2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可调节俯卧位头垫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C7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C7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（33-40）*27.5*（17.5-20.3）cm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01C4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70D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6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87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开放式头圈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E0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CC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20*7*5cm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BA40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DE0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87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F6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俯卧位垫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DF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64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50*16*13/9cm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910B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B34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BA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4A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体部固定带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1B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90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60*14*1cm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15B3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5B2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EE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F1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斜型垫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25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B3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40*22*7/1cm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1AAE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BAD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3C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A4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半圆形体位垫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52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F7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50*15*7cm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B18D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71F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CF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4E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跟骨垫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09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EB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18*10*7cm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5BF0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D57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04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87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踝部固定带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D3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20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45*7*1cm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4DF9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827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7A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D1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隧道垫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12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FE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64*46*25cm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8151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AFD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CB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A8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隧道垫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BF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18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64*40*20cm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190C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59ED04D7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35DE0928">
      <w:pPr>
        <w:keepNext w:val="0"/>
        <w:keepLines w:val="0"/>
        <w:widowControl/>
        <w:numPr>
          <w:ilvl w:val="0"/>
          <w:numId w:val="1"/>
        </w:numPr>
        <w:suppressLineNumbers w:val="0"/>
        <w:spacing w:line="240" w:lineRule="auto"/>
        <w:jc w:val="left"/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体位架</w:t>
      </w:r>
    </w:p>
    <w:tbl>
      <w:tblPr>
        <w:tblStyle w:val="1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476"/>
        <w:gridCol w:w="798"/>
        <w:gridCol w:w="1362"/>
        <w:gridCol w:w="3992"/>
      </w:tblGrid>
      <w:tr w14:paraId="3877E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5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0B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体位架需求明细表</w:t>
            </w:r>
          </w:p>
        </w:tc>
      </w:tr>
      <w:tr w14:paraId="021E8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F1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16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67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7D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BF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33F4C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BF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A1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侧卧位垫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4D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17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A7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柔软、有弹性，有很好的吸收和降低震动的能力，有防止压力集中的特性，在受到较大压力时仍有助于防止压力性损伤形成舒适性好。能穿透X线照射，绝缘不导电，对病人无不良反应。（提供证明）</w:t>
            </w:r>
          </w:p>
        </w:tc>
      </w:tr>
      <w:tr w14:paraId="01385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B5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74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侧卧位搁手垫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47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4个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79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6B95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7E06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B7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1B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俯卧位垫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C8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95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宽窄可调节</w:t>
            </w:r>
          </w:p>
        </w:tc>
        <w:tc>
          <w:tcPr>
            <w:tcW w:w="3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0AEE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13035B97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jc w:val="left"/>
        <w:rPr>
          <w:rFonts w:hint="default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413B3623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jc w:val="left"/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三、医用输血输液加温器</w:t>
      </w:r>
    </w:p>
    <w:p w14:paraId="1D269699">
      <w:pPr>
        <w:numPr>
          <w:ilvl w:val="0"/>
          <w:numId w:val="2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显示屏：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≥</w:t>
      </w:r>
      <w:r>
        <w:rPr>
          <w:rFonts w:hint="eastAsia" w:ascii="仿宋_GB2312" w:hAnsi="仿宋_GB2312" w:eastAsia="仿宋_GB2312" w:cs="仿宋_GB2312"/>
          <w:sz w:val="28"/>
          <w:szCs w:val="28"/>
        </w:rPr>
        <w:t>5 寸高亮彩色医用液晶触控显示屏，预置信息真彩显示。</w:t>
      </w:r>
    </w:p>
    <w:p w14:paraId="4CF480B2">
      <w:pPr>
        <w:numPr>
          <w:ilvl w:val="0"/>
          <w:numId w:val="2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具有</w:t>
      </w:r>
      <w:r>
        <w:rPr>
          <w:rFonts w:hint="eastAsia" w:ascii="仿宋_GB2312" w:hAnsi="仿宋_GB2312" w:eastAsia="仿宋_GB2312" w:cs="仿宋_GB2312"/>
          <w:sz w:val="28"/>
          <w:szCs w:val="28"/>
        </w:rPr>
        <w:t>Ⅰ、Ⅱ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双通道。</w:t>
      </w:r>
    </w:p>
    <w:p w14:paraId="6D66798A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、操作界面：中文界面，可分别显示Ⅰ、Ⅱ通道运行状态，可同时给两路不同液体加温。且每条加热管的温度和控制可单独设定，两路加热管可独立同时工作，互不影响。</w:t>
      </w:r>
    </w:p>
    <w:p w14:paraId="4C3E90DE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、使用常规输血输液管路，无需专用耗材。</w:t>
      </w:r>
    </w:p>
    <w:p w14:paraId="3F62038F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、加温管路: ≥1.2 米多种长度的加热管可选,适合外径为 3.5-5mm 或 6-8mm 多种管径的输血输液管路或定制加热管。</w:t>
      </w:r>
    </w:p>
    <w:p w14:paraId="1A507350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、加温状态可实时动态显示提醒，加热温度实时示。加热时间连续记录，不因暂停而中断或清零。主机系统运行时间可显示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可无线同步网络时间。</w:t>
      </w:r>
    </w:p>
    <w:p w14:paraId="0BE9B840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</w:rPr>
        <w:t>、工作原理：干式加热法，非水循环，非缠绕式加热， 采用柔性加热管全包裹液体管路方式，液体管路无裸露。</w:t>
      </w:r>
    </w:p>
    <w:p w14:paraId="0BACFE6E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</w:rPr>
        <w:t>、开机自检各功能并预热，可测试报警及设置功能，存储过往病人及加温过程记录信息不少于 1000 条。</w:t>
      </w:r>
    </w:p>
    <w:p w14:paraId="5623534E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控温范围：32℃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28"/>
          <w:szCs w:val="28"/>
        </w:rPr>
        <w:t>41℃，温度设置连续可调，步进0.1℃控温精度：控温精度为±1℃。</w:t>
      </w:r>
    </w:p>
    <w:p w14:paraId="50ED48EC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</w:rPr>
        <w:t>、预热时间：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加温至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36℃小于 2min。</w:t>
      </w:r>
    </w:p>
    <w:p w14:paraId="6428B4BD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</w:rPr>
        <w:t>、报警功能：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具备</w:t>
      </w:r>
      <w:r>
        <w:rPr>
          <w:rFonts w:hint="eastAsia" w:ascii="仿宋_GB2312" w:hAnsi="仿宋_GB2312" w:eastAsia="仿宋_GB2312" w:cs="仿宋_GB2312"/>
          <w:sz w:val="28"/>
          <w:szCs w:val="28"/>
        </w:rPr>
        <w:t>。具体报警事项有：具有高温报警、低温报警、传感器故障等 6 项或以上安全保障方式；同时具备报警声音、报警灯光和中文显示三种警醒形式的要求。</w:t>
      </w:r>
    </w:p>
    <w:p w14:paraId="1C9459CF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28"/>
          <w:szCs w:val="28"/>
        </w:rPr>
        <w:t>、打印功能： 可通过管理平台打印病人加温管理报告单。</w:t>
      </w:r>
    </w:p>
    <w:p w14:paraId="64C5E3C2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3AFCF7B1"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四、医用升温毯(充气式)</w:t>
      </w:r>
    </w:p>
    <w:p w14:paraId="0D1F4B5F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1.主机单元：含控温系统、风机及操作界面，支持多档位调节 。 </w:t>
      </w:r>
    </w:p>
    <w:p w14:paraId="2293BA33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2.加温毯体： </w:t>
      </w:r>
    </w:p>
    <w:p w14:paraId="6C571954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1）类型：一次性无菌毯（防交叉感染）或 可重复消毒毯。 </w:t>
      </w:r>
    </w:p>
    <w:p w14:paraId="4C46FD00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2）规格覆盖：至少含成人通用型（≥100×200cm）、儿科型（≤85×65cm）、截石位专用毯、适配开胸手术无菌毯。 </w:t>
      </w:r>
    </w:p>
    <w:p w14:paraId="5FA8DBE5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3.配套附件： </w:t>
      </w:r>
    </w:p>
    <w:p w14:paraId="3E9A9D20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1）伸缩式导气管（1.5-2m，耐磨抗折叠）。 </w:t>
      </w:r>
    </w:p>
    <w:p w14:paraId="441A5CD6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2）移动台车/支架（高度可调，含设备收纳篮）。 </w:t>
      </w:r>
    </w:p>
    <w:p w14:paraId="2710EFEC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3）高效空气过滤器（过滤精度≤0.3μm，防尘防菌）。 </w:t>
      </w:r>
    </w:p>
    <w:p w14:paraId="6783C505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4.耗材备用包：首次配置一次性加温毯≥20张/台。 </w:t>
      </w:r>
    </w:p>
    <w:p w14:paraId="6DC2590B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.调节范围：室温～43℃，至少4档（32℃/38℃/43℃为必备档）±0.5℃精度 | 精准预防低体温/烫伤风险。</w:t>
      </w:r>
    </w:p>
    <w:p w14:paraId="141E48E7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.双档以上风速（低档≥23km/h，高档≥26km/h），气流均匀性误差≤±1℃ | 适应不同体表面积，快速建立热平衡。 </w:t>
      </w:r>
    </w:p>
    <w:p w14:paraId="0E3EA8D5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.安全防护：超温报警（≥设定值+3℃）、低温报警、故障自检（传感器/风机/加热器），符合JCI安全标准，规避医疗事故。 | </w:t>
      </w:r>
    </w:p>
    <w:p w14:paraId="6A58C395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</w:rPr>
        <w:t>.噪音水平：运行噪音≤50dB（距离1米），保障手术环境安静。</w:t>
      </w:r>
    </w:p>
    <w:p w14:paraId="759B6418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.电气安全：符合IEC 60601-1医用电气安全标准，通过CE/FDA认证，确保设备准入资质。 | </w:t>
      </w:r>
    </w:p>
    <w:p w14:paraId="5530DF61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.毯体材质：防水无纺布或TPU，防撕裂、透X光、阻燃（符合CPSC I类），术中液体防护+影像兼容性 。  </w:t>
      </w:r>
    </w:p>
    <w:p w14:paraId="606D7CF4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. 保修与服务： </w:t>
      </w:r>
    </w:p>
    <w:p w14:paraId="6566C8DD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1）质保期≥3年，故障响应≤24小时，现场维修≤48小时 。 </w:t>
      </w:r>
    </w:p>
    <w:p w14:paraId="0EDF5054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2）培训支持：供应商需提供操作及灭菌培训。 </w:t>
      </w:r>
    </w:p>
    <w:p w14:paraId="10F06D50"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4F611C1F">
      <w:pPr>
        <w:pStyle w:val="12"/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高频电刀(单双极均有)</w:t>
      </w:r>
    </w:p>
    <w:p w14:paraId="5FAF55C6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1.主机：</w:t>
      </w:r>
    </w:p>
    <w:p w14:paraId="6E0B002F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1）集成单极输出模块（含切割、凝血、混切模式）</w:t>
      </w:r>
    </w:p>
    <w:p w14:paraId="535B622E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2）集成双极输出模块（标准双极凝血模式）</w:t>
      </w:r>
    </w:p>
    <w:p w14:paraId="3E917394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3）彩色触摸显示屏，中英文操作界面</w:t>
      </w:r>
    </w:p>
    <w:p w14:paraId="3958A954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4）足踏控制接口</w:t>
      </w:r>
    </w:p>
    <w:p w14:paraId="4AD95D4D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2.单极组件：</w:t>
      </w:r>
    </w:p>
    <w:p w14:paraId="4FF43FF1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1）单极手控笔（含切割、凝血按键）： ≥2把</w:t>
      </w:r>
    </w:p>
    <w:p w14:paraId="2FE80955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2）单极回路负极板（可重复使用或一次性）： ≥2块</w:t>
      </w:r>
    </w:p>
    <w:p w14:paraId="6E3E9F77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3.双极组件：</w:t>
      </w:r>
    </w:p>
    <w:p w14:paraId="32A5AA3D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1）标准双极镊子：≥3把 (需涵盖常用规格，如直头、弯头)、精细/显微双极镊子：≥2把 (用于神外、耳鼻喉、眼科等精细手术)</w:t>
      </w:r>
    </w:p>
    <w:p w14:paraId="38B3DF67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2）双极脚踏开关：1个</w:t>
      </w:r>
    </w:p>
    <w:p w14:paraId="105888CA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4.核心功能：</w:t>
      </w:r>
    </w:p>
    <w:p w14:paraId="6C5D3A8E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1）必须集成高性能的单极切割、凝血、混切功能与双极凝血功能于同一主机。</w:t>
      </w:r>
    </w:p>
    <w:p w14:paraId="5A55AF01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2）单极、双极模式可快速、独立切换，互不干扰。</w:t>
      </w:r>
    </w:p>
    <w:p w14:paraId="19D22CD8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3）具备组织阻抗监测与自适应功率输出功能，提高安全性和切割/凝血效果。</w:t>
      </w:r>
    </w:p>
    <w:p w14:paraId="438C5795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4）具备完善的安全报警系统（包括负极板接触质量监测报警、回路故障报警、功率超限报警、设备自检报警等）。</w:t>
      </w:r>
    </w:p>
    <w:p w14:paraId="58111A58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5）具有单极自动检测功能（检测到双极连接时自动禁用单极输出，防止误操作）。</w:t>
      </w:r>
    </w:p>
    <w:p w14:paraId="7A250408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5.单极性能：</w:t>
      </w:r>
    </w:p>
    <w:p w14:paraId="43621786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1）切割功率范围：满足普外、骨科、妇科等手术需求，最大切割功率 ≥ 300W（纯切）。</w:t>
      </w:r>
    </w:p>
    <w:p w14:paraId="6A6052E1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2）凝血功率范围：满足各类止血需求，最大凝血功率 ≥ 120W（喷凝），提供多种凝血模式（如：柔和凝、强力凝、点凝、喷凝等）。</w:t>
      </w:r>
    </w:p>
    <w:p w14:paraId="5C41B034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6.双极性能：</w:t>
      </w:r>
    </w:p>
    <w:p w14:paraId="51DE7988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1）最大输出功率：满足精细及标准手术需求，最大双极功率 ≥ 50W。</w:t>
      </w:r>
    </w:p>
    <w:p w14:paraId="4ADE1F9D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2）具备低功率输出能力：最低功率可低至 1-5W，满足精细组织（如神经、血管）的精准凝血需求。</w:t>
      </w:r>
    </w:p>
    <w:p w14:paraId="557A7DD6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3）输出稳定，热扩散小，侧向热损伤小。</w:t>
      </w:r>
    </w:p>
    <w:p w14:paraId="6ECBDAC3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4）具备双极自动停止功能（根据组织阻抗变化自动停止输出）。</w:t>
      </w:r>
    </w:p>
    <w:p w14:paraId="12285AD7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7.电气安全：</w:t>
      </w:r>
    </w:p>
    <w:p w14:paraId="79A4BE5C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符合最新版国家医用电气设备安全标准（GB 9706.1）及相关专用标准（如GB 9706.4）。</w:t>
      </w:r>
    </w:p>
    <w:p w14:paraId="50983462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8.物理规格：</w:t>
      </w:r>
    </w:p>
    <w:p w14:paraId="0FD003A1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1）主机尺寸与重量：适合手术室空间及移动需求</w:t>
      </w:r>
    </w:p>
    <w:p w14:paraId="6659218C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2）工作环境：满足手术室温湿度要求（如：温度10°C - 40°C，相对湿度30% - 65%）。</w:t>
      </w:r>
    </w:p>
    <w:p w14:paraId="4FAAAEF5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9.连接与接口：</w:t>
      </w:r>
    </w:p>
    <w:p w14:paraId="2E4AEB19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1）手控笔接口：通用标准接口，兼容主流品牌耗材。</w:t>
      </w:r>
    </w:p>
    <w:p w14:paraId="0B3DCC4E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2）负极板接口：标准接口。</w:t>
      </w:r>
    </w:p>
    <w:p w14:paraId="684AC252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3）脚踏开关接口：标准双接口（单极/双极独立或兼容）。</w:t>
      </w:r>
    </w:p>
    <w:p w14:paraId="03F5DF14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10.质保与服务：</w:t>
      </w:r>
    </w:p>
    <w:p w14:paraId="168AE9F1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1）提供≥2年整机质保。</w:t>
      </w:r>
    </w:p>
    <w:p w14:paraId="4ED024C9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2）提供及时有效的本地化技术支持与维修服务（明确响应时间要求，如24/48小时）。</w:t>
      </w:r>
    </w:p>
    <w:p w14:paraId="5A12E51C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3）提供操作培训（现场培训次数要求，≥1次）。</w:t>
      </w:r>
    </w:p>
    <w:p w14:paraId="0F763EB3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11.其他要求：</w:t>
      </w:r>
    </w:p>
    <w:p w14:paraId="75541EFA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1）明确要求设备为全新原装正品。</w:t>
      </w:r>
    </w:p>
    <w:p w14:paraId="588C4B26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2）提供完整的中文技术文档（说明书、维修手册等）。</w:t>
      </w:r>
    </w:p>
    <w:p w14:paraId="2F069FFB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3）兼容常用的一次性负极板及电刀笔（或明确说明）。 </w:t>
      </w:r>
    </w:p>
    <w:p w14:paraId="72280920">
      <w:pPr>
        <w:pStyle w:val="1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3AB42D11">
      <w:pPr>
        <w:pStyle w:val="1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六、自体血液回收机</w:t>
      </w:r>
    </w:p>
    <w:p w14:paraId="6AC22996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（一）核心技术参数 </w:t>
      </w:r>
    </w:p>
    <w:p w14:paraId="18018541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 血液处理能力</w:t>
      </w:r>
    </w:p>
    <w:p w14:paraId="4E132EF5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红细胞回收率：≥95% 回收后红细胞压积：≥60%（紧急模式下可达65%）</w:t>
      </w:r>
    </w:p>
    <w:p w14:paraId="1B554576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抗凝剂清除率：≥98%（肝素残留量＜2.5U/ml）</w:t>
      </w:r>
    </w:p>
    <w:p w14:paraId="66BC1934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有害物质清除率：游离血红蛋白、破碎细胞、炎性因子清除率≥98%</w:t>
      </w:r>
    </w:p>
    <w:p w14:paraId="0472774E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 2.处理速度</w:t>
      </w:r>
    </w:p>
    <w:p w14:paraId="7EE06FD3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常规处理流量：30-70ml/min（连续清洗模式）</w:t>
      </w:r>
    </w:p>
    <w:p w14:paraId="32D5A357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紧急处理流量：100ml/min（15秒内启动连续回输 ）</w:t>
      </w:r>
    </w:p>
    <w:p w14:paraId="6A844572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单周期处理时间：3-5分钟（含清洗、离心、浓缩全流程）</w:t>
      </w:r>
    </w:p>
    <w:p w14:paraId="7C075570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 离心分离系统</w:t>
      </w:r>
    </w:p>
    <w:p w14:paraId="64FA07D7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离心机转速：0-7000rpm</w:t>
      </w:r>
    </w:p>
    <w:p w14:paraId="12488E86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离心杯容量：125ml/225ml双规格可选（适配不同出血量）</w:t>
      </w:r>
    </w:p>
    <w:p w14:paraId="147E19B6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分离精度：±0.1%</w:t>
      </w:r>
    </w:p>
    <w:p w14:paraId="7CBA9F56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 泵系统</w:t>
      </w:r>
    </w:p>
    <w:p w14:paraId="606F8E38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蠕动泵数量：≥3个独立泵（进血/清洗/排空三泵设计，支持紧急过滤模式 ）</w:t>
      </w:r>
    </w:p>
    <w:p w14:paraId="5884D118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泵速范围：0-1000ml/min</w:t>
      </w:r>
    </w:p>
    <w:p w14:paraId="5D045343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负压吸引模式：智能抽吸（20-150mmHg）、手动抽吸（50-250mmHg）、术后抽吸（25-100mmHg）</w:t>
      </w:r>
    </w:p>
    <w:p w14:paraId="3E21B44E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（二）安全与质控参数</w:t>
      </w:r>
    </w:p>
    <w:p w14:paraId="3F47AF21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 多重检测系统</w:t>
      </w:r>
    </w:p>
    <w:p w14:paraId="70ACD589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红外血层监测：自动识别红细胞层高度，防止溢出</w:t>
      </w:r>
    </w:p>
    <w:p w14:paraId="4B594D54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气泡检测：超声波气泡传感器，检测精度≤0.1ml</w:t>
      </w:r>
    </w:p>
    <w:p w14:paraId="30310782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漏液保护：离心杯漏液自动停机（双CPU冗余控制 ）</w:t>
      </w:r>
    </w:p>
    <w:p w14:paraId="4A88A21B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压力监测：负压过载、管路堵塞双重报警</w:t>
      </w:r>
    </w:p>
    <w:p w14:paraId="751A29DF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 清洗质量控制</w:t>
      </w:r>
    </w:p>
    <w:p w14:paraId="2312FF41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智能清洗算法：根据失血压积自动调节进血量与清洗液比例（1:5~1:7生理盐水配比）</w:t>
      </w:r>
    </w:p>
    <w:p w14:paraId="4B6B35DB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清洗液用量：标准1000ml/周期，支持低容量清洗（500ml模式）</w:t>
      </w:r>
    </w:p>
    <w:p w14:paraId="1E4189AE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残留血量：≤3ml/离心杯（北京京精3000H参数）</w:t>
      </w:r>
    </w:p>
    <w:p w14:paraId="0D0E64EF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 应急安全设计</w:t>
      </w:r>
    </w:p>
    <w:p w14:paraId="0BD30049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双CPU控制系统：主从处理器实时冗余，确保数据不丢失 </w:t>
      </w:r>
    </w:p>
    <w:p w14:paraId="5EC9252D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断电保护：内置电池储备支持30分钟应急操作，恢复供电后自动续接工作</w:t>
      </w:r>
    </w:p>
    <w:p w14:paraId="57A0CE1B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快速拆卸管路：5秒内完成耗材更换，支持术中不停机维护</w:t>
      </w:r>
    </w:p>
    <w:p w14:paraId="7F56D273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（三）操作与交互设计</w:t>
      </w:r>
    </w:p>
    <w:p w14:paraId="607BD15A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3913A7C0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 人机交互界面</w:t>
      </w:r>
    </w:p>
    <w:p w14:paraId="17F39C97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触控屏规格：≥10英寸彩色电容屏（支持手套操作）</w:t>
      </w:r>
    </w:p>
    <w:p w14:paraId="7DD95D05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操作模式：自动/手动/紧急/应急四模式（紧急模式15秒启动 ）</w:t>
      </w:r>
    </w:p>
    <w:p w14:paraId="49C85A47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数据记录：可存储1000例手术数据，支持USB导出及PDF报告打印</w:t>
      </w:r>
    </w:p>
    <w:p w14:paraId="282E6F51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 智能辅助功能</w:t>
      </w:r>
    </w:p>
    <w:p w14:paraId="28DD22E5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自动校准：开机自检12项核心部件（包括泵速、负压、传感器精度）</w:t>
      </w:r>
    </w:p>
    <w:p w14:paraId="25616DCA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</w:p>
    <w:p w14:paraId="49858D80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 物理规格</w:t>
      </w:r>
    </w:p>
    <w:p w14:paraId="7D605C1B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整机重量：≤35kg（含移动车架）</w:t>
      </w:r>
    </w:p>
    <w:p w14:paraId="32AC1F85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移动性：四轮万向静音轮，支持180°转向</w:t>
      </w:r>
    </w:p>
    <w:p w14:paraId="3980BBB0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 环境适应性</w:t>
      </w:r>
    </w:p>
    <w:p w14:paraId="19B23ED0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电源要求：AC 220V±10%/50Hz，功率≤300VA</w:t>
      </w:r>
    </w:p>
    <w:p w14:paraId="02D1B86D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工作温度：10-40℃，湿度30%-75%</w:t>
      </w:r>
    </w:p>
    <w:p w14:paraId="142E6C78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噪音控制：≤50dB（ISO 7731认证，手术室环境适配）</w:t>
      </w:r>
    </w:p>
    <w:p w14:paraId="1B3B50F2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（五）临床适配优化</w:t>
      </w:r>
    </w:p>
    <w:p w14:paraId="4B1ACC6D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 特殊场景支持</w:t>
      </w:r>
    </w:p>
    <w:p w14:paraId="33CE7FC0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低容量处理：可处理失血量≥1000ml的手术（妇产科异位妊娠破裂等）</w:t>
      </w:r>
    </w:p>
    <w:p w14:paraId="359EC5A6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成分血分离：支持红细胞/血小板/血浆分级回收</w:t>
      </w:r>
    </w:p>
    <w:p w14:paraId="0A0DC6B6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术后渗血回收：负压吸引压力可调节至25-100mmHg适配骨科术后引流 </w:t>
      </w:r>
    </w:p>
    <w:p w14:paraId="4D55C98A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 耗材</w:t>
      </w:r>
    </w:p>
    <w:p w14:paraId="50E43556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耗材兼容性：支持多品牌通用套件</w:t>
      </w:r>
    </w:p>
    <w:p w14:paraId="07FD72CF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（六）辅助设备配置清单</w:t>
      </w:r>
    </w:p>
    <w:p w14:paraId="12A401BD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可移动或移动承载车（带防倾倒支架）</w:t>
      </w:r>
    </w:p>
    <w:p w14:paraId="779A251D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悬挂式耗材挂架</w:t>
      </w:r>
    </w:p>
    <w:p w14:paraId="6B7DB051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（七）售后服务</w:t>
      </w:r>
    </w:p>
    <w:p w14:paraId="55339444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保修服务：整机≥3年质保（含核心部件）</w:t>
      </w:r>
    </w:p>
    <w:p w14:paraId="58BE5967"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4E56C24E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4E0F25E5"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aiTi_GB2312">
    <w:altName w:val="楷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104637"/>
    <w:multiLevelType w:val="singleLevel"/>
    <w:tmpl w:val="25104637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B8EBEBA"/>
    <w:multiLevelType w:val="singleLevel"/>
    <w:tmpl w:val="2B8EBEB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09CD536"/>
    <w:multiLevelType w:val="singleLevel"/>
    <w:tmpl w:val="409CD53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FhOGIyYzRmM2UxZmNkODZkMDJkYjFlMjYyODA1YTcifQ=="/>
  </w:docVars>
  <w:rsids>
    <w:rsidRoot w:val="24D2209E"/>
    <w:rsid w:val="00494ACE"/>
    <w:rsid w:val="007B265A"/>
    <w:rsid w:val="00A55D11"/>
    <w:rsid w:val="00DA5D87"/>
    <w:rsid w:val="020A2C0E"/>
    <w:rsid w:val="038141F9"/>
    <w:rsid w:val="05C83698"/>
    <w:rsid w:val="070E48A8"/>
    <w:rsid w:val="07BC5A28"/>
    <w:rsid w:val="0A8A6F01"/>
    <w:rsid w:val="0BB574E9"/>
    <w:rsid w:val="0BC67500"/>
    <w:rsid w:val="0DF72211"/>
    <w:rsid w:val="0F227162"/>
    <w:rsid w:val="0F5C08A7"/>
    <w:rsid w:val="10A62A18"/>
    <w:rsid w:val="11C97D4A"/>
    <w:rsid w:val="11FF749C"/>
    <w:rsid w:val="149A59CD"/>
    <w:rsid w:val="16373051"/>
    <w:rsid w:val="165E7E7E"/>
    <w:rsid w:val="174F484D"/>
    <w:rsid w:val="179A4019"/>
    <w:rsid w:val="189212F3"/>
    <w:rsid w:val="18AD5A80"/>
    <w:rsid w:val="19520625"/>
    <w:rsid w:val="1A120022"/>
    <w:rsid w:val="1AE22727"/>
    <w:rsid w:val="1C042A1F"/>
    <w:rsid w:val="20784C33"/>
    <w:rsid w:val="22E542B8"/>
    <w:rsid w:val="24D2209E"/>
    <w:rsid w:val="26B72AA4"/>
    <w:rsid w:val="2B202C91"/>
    <w:rsid w:val="2CCB451E"/>
    <w:rsid w:val="2D7D23EE"/>
    <w:rsid w:val="2DF60F5E"/>
    <w:rsid w:val="2F257DA7"/>
    <w:rsid w:val="2F80457E"/>
    <w:rsid w:val="322C3CB1"/>
    <w:rsid w:val="349E5471"/>
    <w:rsid w:val="38474F05"/>
    <w:rsid w:val="38D526E1"/>
    <w:rsid w:val="394B75AF"/>
    <w:rsid w:val="3C2B5111"/>
    <w:rsid w:val="3D626373"/>
    <w:rsid w:val="3DA7680A"/>
    <w:rsid w:val="415648A7"/>
    <w:rsid w:val="426B5E48"/>
    <w:rsid w:val="455467A5"/>
    <w:rsid w:val="461E3079"/>
    <w:rsid w:val="46A139FD"/>
    <w:rsid w:val="481007AD"/>
    <w:rsid w:val="49E17296"/>
    <w:rsid w:val="4AC86916"/>
    <w:rsid w:val="4C895DD1"/>
    <w:rsid w:val="4D8E366A"/>
    <w:rsid w:val="4DD454D1"/>
    <w:rsid w:val="4E8C54B1"/>
    <w:rsid w:val="4EC10F8B"/>
    <w:rsid w:val="4EDA651C"/>
    <w:rsid w:val="4FDE15A9"/>
    <w:rsid w:val="503C735D"/>
    <w:rsid w:val="51051655"/>
    <w:rsid w:val="51277097"/>
    <w:rsid w:val="51983E64"/>
    <w:rsid w:val="52816664"/>
    <w:rsid w:val="52A05BEE"/>
    <w:rsid w:val="52A13E2E"/>
    <w:rsid w:val="54394300"/>
    <w:rsid w:val="54D97240"/>
    <w:rsid w:val="58346B6C"/>
    <w:rsid w:val="59017396"/>
    <w:rsid w:val="60402093"/>
    <w:rsid w:val="63B25E95"/>
    <w:rsid w:val="63D74F7B"/>
    <w:rsid w:val="6604073B"/>
    <w:rsid w:val="66102866"/>
    <w:rsid w:val="66D31996"/>
    <w:rsid w:val="688F3EA6"/>
    <w:rsid w:val="69887333"/>
    <w:rsid w:val="6A454942"/>
    <w:rsid w:val="6B8D689A"/>
    <w:rsid w:val="6C445178"/>
    <w:rsid w:val="6C97174C"/>
    <w:rsid w:val="6CFB554B"/>
    <w:rsid w:val="6E34121C"/>
    <w:rsid w:val="6E5F098F"/>
    <w:rsid w:val="6EFE6B64"/>
    <w:rsid w:val="6FF941E7"/>
    <w:rsid w:val="70B2124A"/>
    <w:rsid w:val="735E1713"/>
    <w:rsid w:val="75881A8D"/>
    <w:rsid w:val="782E6441"/>
    <w:rsid w:val="78C338C8"/>
    <w:rsid w:val="7C0B180E"/>
    <w:rsid w:val="7D3B1B2A"/>
    <w:rsid w:val="7DF13731"/>
    <w:rsid w:val="7F20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2"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4"/>
    <w:basedOn w:val="1"/>
    <w:next w:val="1"/>
    <w:autoRedefine/>
    <w:qFormat/>
    <w:uiPriority w:val="0"/>
    <w:pPr>
      <w:keepNext/>
      <w:keepLines/>
      <w:spacing w:before="120" w:after="120" w:line="360" w:lineRule="auto"/>
      <w:outlineLvl w:val="3"/>
    </w:pPr>
    <w:rPr>
      <w:rFonts w:ascii="Arial" w:hAnsi="Arial" w:eastAsia="宋体" w:cs="Times New Roman"/>
      <w:b/>
      <w:bCs/>
      <w:sz w:val="28"/>
      <w:szCs w:val="28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next w:val="1"/>
    <w:autoRedefine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7">
    <w:name w:val="Body Text"/>
    <w:basedOn w:val="1"/>
    <w:autoRedefine/>
    <w:qFormat/>
    <w:uiPriority w:val="99"/>
    <w:pPr>
      <w:spacing w:before="0" w:beforeLines="0" w:after="0" w:afterLines="0" w:line="240" w:lineRule="auto"/>
      <w:ind w:firstLine="0" w:firstLineChars="0"/>
    </w:pPr>
    <w:rPr>
      <w:rFonts w:ascii="Helvetica" w:hAnsi="Helvetica" w:eastAsia="黑体" w:cs="Times New Roman"/>
      <w:i/>
      <w:iCs/>
      <w:sz w:val="21"/>
      <w:szCs w:val="20"/>
    </w:rPr>
  </w:style>
  <w:style w:type="paragraph" w:styleId="8">
    <w:name w:val="Body Text Indent"/>
    <w:basedOn w:val="1"/>
    <w:autoRedefine/>
    <w:qFormat/>
    <w:uiPriority w:val="0"/>
    <w:pPr>
      <w:spacing w:after="120" w:afterLines="0"/>
      <w:ind w:left="420" w:leftChars="200"/>
    </w:pPr>
  </w:style>
  <w:style w:type="paragraph" w:styleId="9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footer"/>
    <w:basedOn w:val="1"/>
    <w:link w:val="23"/>
    <w:autoRedefine/>
    <w:qFormat/>
    <w:uiPriority w:val="0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2"/>
    <w:autoRedefine/>
    <w:qFormat/>
    <w:uiPriority w:val="0"/>
    <w:pP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13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Arial" w:hAnsi="Arial" w:cs="Times New Roman"/>
      <w:b/>
      <w:sz w:val="32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1"/>
    <w:basedOn w:val="1"/>
    <w:next w:val="8"/>
    <w:autoRedefine/>
    <w:qFormat/>
    <w:uiPriority w:val="0"/>
    <w:pPr>
      <w:widowControl w:val="0"/>
      <w:jc w:val="both"/>
    </w:pPr>
    <w:rPr>
      <w:rFonts w:ascii="宋体" w:hAnsi="Courier New"/>
      <w:kern w:val="2"/>
    </w:rPr>
  </w:style>
  <w:style w:type="paragraph" w:customStyle="1" w:styleId="18">
    <w:name w:val="font5"/>
    <w:basedOn w:val="1"/>
    <w:autoRedefine/>
    <w:qFormat/>
    <w:uiPriority w:val="0"/>
    <w:pPr>
      <w:spacing w:before="100" w:beforeLines="0" w:beforeAutospacing="1" w:after="100" w:afterLines="0" w:afterAutospacing="1"/>
    </w:pPr>
    <w:rPr>
      <w:rFonts w:ascii="宋体" w:hAnsi="宋体" w:cs="宋体"/>
      <w:sz w:val="18"/>
      <w:szCs w:val="18"/>
    </w:rPr>
  </w:style>
  <w:style w:type="paragraph" w:customStyle="1" w:styleId="19">
    <w:name w:val="表格文字"/>
    <w:basedOn w:val="1"/>
    <w:autoRedefine/>
    <w:qFormat/>
    <w:uiPriority w:val="0"/>
    <w:pPr>
      <w:spacing w:before="25" w:after="25"/>
    </w:pPr>
    <w:rPr>
      <w:bCs/>
      <w:spacing w:val="10"/>
      <w:kern w:val="0"/>
    </w:rPr>
  </w:style>
  <w:style w:type="paragraph" w:customStyle="1" w:styleId="20">
    <w:name w:val="Default"/>
    <w:autoRedefine/>
    <w:qFormat/>
    <w:uiPriority w:val="0"/>
    <w:pPr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  <w:style w:type="paragraph" w:styleId="21">
    <w:name w:val="No Spacing"/>
    <w:autoRedefine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22">
    <w:name w:val="页眉 字符"/>
    <w:basedOn w:val="16"/>
    <w:link w:val="11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3">
    <w:name w:val="页脚 字符"/>
    <w:basedOn w:val="16"/>
    <w:link w:val="10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24">
    <w:name w:val="Body text|1"/>
    <w:basedOn w:val="1"/>
    <w:autoRedefine/>
    <w:qFormat/>
    <w:uiPriority w:val="0"/>
    <w:pPr>
      <w:widowControl w:val="0"/>
      <w:shd w:val="clear" w:color="auto" w:fill="auto"/>
      <w:spacing w:after="380"/>
      <w:jc w:val="center"/>
    </w:pPr>
    <w:rPr>
      <w:rFonts w:ascii="宋体" w:hAnsi="宋体" w:eastAsia="宋体" w:cs="宋体"/>
      <w:color w:val="64676B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5">
    <w:name w:val="Other|1"/>
    <w:basedOn w:val="1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color w:val="7D7E84"/>
      <w:sz w:val="20"/>
      <w:szCs w:val="20"/>
      <w:u w:val="none"/>
      <w:shd w:val="clear" w:color="auto" w:fill="auto"/>
      <w:lang w:val="zh-TW" w:eastAsia="zh-TW" w:bidi="zh-TW"/>
    </w:rPr>
  </w:style>
  <w:style w:type="paragraph" w:styleId="26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7">
    <w:name w:val="null3"/>
    <w:autoRedefine/>
    <w:hidden/>
    <w:qFormat/>
    <w:uiPriority w:val="0"/>
    <w:rPr>
      <w:rFonts w:hint="eastAsia" w:asciiTheme="minorHAnsi" w:hAnsiTheme="minorHAnsi" w:eastAsiaTheme="minorEastAsia" w:cstheme="minorBidi"/>
      <w:kern w:val="0"/>
      <w:sz w:val="20"/>
      <w:szCs w:val="20"/>
      <w:lang w:val="en-US" w:eastAsia="zh-Hans" w:bidi="ar-SA"/>
    </w:rPr>
  </w:style>
  <w:style w:type="paragraph" w:customStyle="1" w:styleId="28">
    <w:name w:val="正文_0"/>
    <w:autoRedefine/>
    <w:qFormat/>
    <w:uiPriority w:val="0"/>
    <w:pPr>
      <w:widowControl w:val="0"/>
      <w:jc w:val="both"/>
    </w:pPr>
    <w:rPr>
      <w:rFonts w:ascii="Times New Roman" w:hAnsi="Times New Roman" w:eastAsia="微软雅黑" w:cs="Times New Roman"/>
      <w:kern w:val="2"/>
      <w:sz w:val="21"/>
      <w:lang w:val="en-US" w:eastAsia="zh-CN" w:bidi="ar-SA"/>
    </w:rPr>
  </w:style>
  <w:style w:type="paragraph" w:customStyle="1" w:styleId="29">
    <w:name w:val="Plain Text"/>
    <w:basedOn w:val="1"/>
    <w:qFormat/>
    <w:uiPriority w:val="0"/>
    <w:rPr>
      <w:rFonts w:ascii="宋体" w:hAnsi="Courier New"/>
      <w:sz w:val="24"/>
      <w:szCs w:val="20"/>
    </w:rPr>
  </w:style>
  <w:style w:type="paragraph" w:customStyle="1" w:styleId="30">
    <w:name w:val="Date"/>
    <w:basedOn w:val="1"/>
    <w:next w:val="1"/>
    <w:qFormat/>
    <w:uiPriority w:val="0"/>
    <w:rPr>
      <w:rFonts w:ascii="Arial" w:hAnsi="Arial" w:eastAsia="KaiTi_GB2312"/>
      <w:sz w:val="28"/>
      <w:szCs w:val="20"/>
    </w:rPr>
  </w:style>
  <w:style w:type="paragraph" w:customStyle="1" w:styleId="31">
    <w:name w:val="列出段落1"/>
    <w:basedOn w:val="1"/>
    <w:qFormat/>
    <w:uiPriority w:val="34"/>
    <w:pPr>
      <w:ind w:firstLine="420" w:firstLineChars="200"/>
      <w:jc w:val="left"/>
    </w:pPr>
    <w:rPr>
      <w:rFonts w:ascii="Courier New" w:hAnsi="Courier New"/>
      <w:snapToGrid w:val="0"/>
      <w:kern w:val="0"/>
      <w:sz w:val="24"/>
      <w:szCs w:val="20"/>
      <w:lang w:eastAsia="en-US"/>
    </w:rPr>
  </w:style>
  <w:style w:type="character" w:customStyle="1" w:styleId="32">
    <w:name w:val="标题 2 Char"/>
    <w:basedOn w:val="16"/>
    <w:link w:val="3"/>
    <w:autoRedefine/>
    <w:qFormat/>
    <w:uiPriority w:val="9"/>
    <w:rPr>
      <w:rFonts w:ascii="Arial" w:hAnsi="Arial" w:eastAsia="黑体"/>
      <w:b/>
      <w:bCs/>
      <w:sz w:val="32"/>
      <w:szCs w:val="32"/>
    </w:rPr>
  </w:style>
  <w:style w:type="paragraph" w:customStyle="1" w:styleId="33">
    <w:name w:val="p15"/>
    <w:basedOn w:val="1"/>
    <w:qFormat/>
    <w:uiPriority w:val="0"/>
    <w:pPr>
      <w:adjustRightInd w:val="0"/>
    </w:pPr>
    <w:rPr>
      <w:rFonts w:ascii="Arial Unicode MS" w:hAnsi="Arial Unicode MS" w:cs="宋体"/>
      <w:color w:val="000000"/>
      <w:szCs w:val="24"/>
    </w:rPr>
  </w:style>
  <w:style w:type="paragraph" w:customStyle="1" w:styleId="34">
    <w:name w:val="列出段落2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837</Words>
  <Characters>888</Characters>
  <Lines>8</Lines>
  <Paragraphs>2</Paragraphs>
  <TotalTime>3</TotalTime>
  <ScaleCrop>false</ScaleCrop>
  <LinksUpToDate>false</LinksUpToDate>
  <CharactersWithSpaces>966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2023-07-10T10:50:00Z</dcterms:created>
  <dc:creator>农人</dc:creator>
  <cp:lastModifiedBy>农人</cp:lastModifiedBy>
  <dcterms:modified xsi:type="dcterms:W3CDTF">2025-10-16T06:24:42Z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D9F6B8D083BF47218BB4F15038EBEA3A_13</vt:lpwstr>
  </property>
  <property fmtid="{D5CDD505-2E9C-101B-9397-08002B2CF9AE}" pid="4" name="KSOTemplateDocerSaveRecord">
    <vt:lpwstr>eyJoZGlkIjoiZTYyMDczZGRhZjNiZjg5MTJhMWY4ZmJkZjE0ODlhZjQiLCJ1c2VySWQiOiIyNzE2NTk1MjcifQ==</vt:lpwstr>
  </property>
</Properties>
</file>