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w:t>
            </w:r>
            <w:r>
              <w:rPr>
                <w:rFonts w:hint="eastAsia" w:ascii="FangSong_GB2312" w:hAnsi="FangSong_GB2312" w:eastAsia="FangSong_GB2312" w:cs="FangSong_GB2312"/>
                <w:b/>
                <w:bCs/>
                <w:color w:val="000000"/>
                <w:kern w:val="0"/>
                <w:sz w:val="28"/>
                <w:szCs w:val="28"/>
                <w:lang w:val="en-US" w:eastAsia="zh-CN" w:bidi="ar"/>
              </w:rPr>
              <w:t>二次</w:t>
            </w:r>
            <w:r>
              <w:rPr>
                <w:rFonts w:hint="eastAsia" w:ascii="FangSong_GB2312" w:hAnsi="FangSong_GB2312" w:eastAsia="FangSong_GB2312" w:cs="FangSong_GB2312"/>
                <w:b/>
                <w:bCs/>
                <w:color w:val="000000"/>
                <w:kern w:val="0"/>
                <w:sz w:val="28"/>
                <w:szCs w:val="28"/>
                <w:lang w:bidi="ar"/>
              </w:rPr>
              <w:t>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大型检查预约系统</w:t>
            </w:r>
            <w:r>
              <w:rPr>
                <w:rFonts w:hint="eastAsia" w:ascii="FangSong_GB2312" w:hAnsi="FangSong_GB2312" w:eastAsia="FangSong_GB2312" w:cs="FangSong_GB2312"/>
                <w:color w:val="000000"/>
                <w:kern w:val="0"/>
                <w:sz w:val="24"/>
                <w:lang w:eastAsia="zh-CN" w:bidi="ar"/>
              </w:rPr>
              <w:t>采购</w:t>
            </w:r>
            <w:r>
              <w:rPr>
                <w:rFonts w:hint="eastAsia" w:ascii="FangSong_GB2312" w:hAnsi="FangSong_GB2312" w:eastAsia="FangSong_GB2312" w:cs="FangSong_GB2312"/>
                <w:color w:val="000000"/>
                <w:kern w:val="0"/>
                <w:sz w:val="24"/>
                <w:lang w:bidi="ar"/>
              </w:rPr>
              <w:t>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45万</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45万</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1"/>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val="en-US" w:eastAsia="zh-CN" w:bidi="ar"/>
              </w:rPr>
              <w:t>大型检查预约系统，项目所含内容见附件1、评分方法见附件2、详细参数要求见附件3</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w:t>
            </w:r>
            <w:r>
              <w:rPr>
                <w:rFonts w:hint="eastAsia" w:ascii="FangSong_GB2312" w:hAnsi="FangSong_GB2312" w:eastAsia="FangSong_GB2312" w:cs="FangSong_GB2312"/>
                <w:color w:val="000000"/>
                <w:kern w:val="0"/>
                <w:sz w:val="24"/>
                <w:lang w:val="en-US" w:eastAsia="zh-CN" w:bidi="ar"/>
              </w:rPr>
              <w:t>及产品授权</w:t>
            </w:r>
            <w:r>
              <w:rPr>
                <w:rFonts w:hint="eastAsia" w:ascii="FangSong_GB2312" w:hAnsi="FangSong_GB2312" w:eastAsia="FangSong_GB2312" w:cs="FangSong_GB2312"/>
                <w:color w:val="000000"/>
                <w:kern w:val="0"/>
                <w:sz w:val="24"/>
                <w:lang w:bidi="ar"/>
              </w:rPr>
              <w:t>）</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640"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CC65435">
      <w:pPr>
        <w:jc w:val="left"/>
        <w:rPr>
          <w:rFonts w:hint="eastAsia"/>
          <w:b/>
          <w:bCs/>
          <w:sz w:val="30"/>
          <w:szCs w:val="30"/>
          <w:lang w:eastAsia="zh-CN"/>
        </w:rPr>
      </w:pPr>
    </w:p>
    <w:p w14:paraId="26430505">
      <w:pPr>
        <w:jc w:val="left"/>
        <w:rPr>
          <w:rFonts w:hint="eastAsia"/>
          <w:b/>
          <w:bCs/>
          <w:sz w:val="30"/>
          <w:szCs w:val="30"/>
          <w:lang w:eastAsia="zh-CN"/>
        </w:rPr>
      </w:pPr>
    </w:p>
    <w:p w14:paraId="26A7AE86">
      <w:pPr>
        <w:jc w:val="left"/>
        <w:rPr>
          <w:rFonts w:hint="eastAsia"/>
          <w:b/>
          <w:bCs/>
          <w:sz w:val="30"/>
          <w:szCs w:val="30"/>
          <w:lang w:eastAsia="zh-CN"/>
        </w:rPr>
      </w:pPr>
    </w:p>
    <w:p w14:paraId="0D4FB766">
      <w:pPr>
        <w:jc w:val="left"/>
        <w:rPr>
          <w:rFonts w:hint="default"/>
          <w:b/>
          <w:bCs/>
          <w:sz w:val="30"/>
          <w:szCs w:val="30"/>
          <w:lang w:val="en-US" w:eastAsia="zh-CN"/>
        </w:rPr>
      </w:pPr>
      <w:r>
        <w:rPr>
          <w:rFonts w:hint="eastAsia"/>
          <w:b/>
          <w:bCs/>
          <w:sz w:val="30"/>
          <w:szCs w:val="30"/>
          <w:lang w:val="en-US" w:eastAsia="zh-CN"/>
        </w:rPr>
        <w:t>附件1：采购项目名称及所含内容</w:t>
      </w:r>
    </w:p>
    <w:tbl>
      <w:tblPr>
        <w:tblStyle w:val="17"/>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2838"/>
        <w:gridCol w:w="4825"/>
        <w:gridCol w:w="1287"/>
      </w:tblGrid>
      <w:tr w14:paraId="301A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15" w:type="dxa"/>
            <w:vAlign w:val="center"/>
          </w:tcPr>
          <w:p w14:paraId="5CF4B2BF">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项目名称</w:t>
            </w:r>
          </w:p>
        </w:tc>
        <w:tc>
          <w:tcPr>
            <w:tcW w:w="2838" w:type="dxa"/>
            <w:vAlign w:val="center"/>
          </w:tcPr>
          <w:p w14:paraId="3D312ECF">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分类</w:t>
            </w:r>
          </w:p>
        </w:tc>
        <w:tc>
          <w:tcPr>
            <w:tcW w:w="4825" w:type="dxa"/>
            <w:vAlign w:val="center"/>
          </w:tcPr>
          <w:p w14:paraId="668BD00A">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模块</w:t>
            </w:r>
          </w:p>
        </w:tc>
        <w:tc>
          <w:tcPr>
            <w:tcW w:w="1287" w:type="dxa"/>
            <w:vAlign w:val="center"/>
          </w:tcPr>
          <w:p w14:paraId="0E61C683">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拦标价（万元）</w:t>
            </w:r>
          </w:p>
        </w:tc>
      </w:tr>
      <w:tr w14:paraId="4CC8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315" w:type="dxa"/>
            <w:vMerge w:val="restart"/>
            <w:vAlign w:val="center"/>
          </w:tcPr>
          <w:p w14:paraId="25103D1D">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大型检查预约系统</w:t>
            </w:r>
          </w:p>
        </w:tc>
        <w:tc>
          <w:tcPr>
            <w:tcW w:w="2838" w:type="dxa"/>
            <w:vAlign w:val="center"/>
          </w:tcPr>
          <w:p w14:paraId="3EC9F30A">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检查预约系统</w:t>
            </w:r>
          </w:p>
        </w:tc>
        <w:tc>
          <w:tcPr>
            <w:tcW w:w="4825" w:type="dxa"/>
            <w:vAlign w:val="center"/>
          </w:tcPr>
          <w:p w14:paraId="280A21DA">
            <w:pPr>
              <w:numPr>
                <w:ilvl w:val="0"/>
                <w:numId w:val="0"/>
              </w:numPr>
              <w:jc w:val="left"/>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含：检查预约、集中预约、系统自动预约、自助机预约、移动端预约、预约规则引擎、排班、检查资源管理、检查项目维护、智能短信服务、预约情况分析、履约分析、服务效率分析等</w:t>
            </w:r>
          </w:p>
        </w:tc>
        <w:tc>
          <w:tcPr>
            <w:tcW w:w="1287" w:type="dxa"/>
            <w:vMerge w:val="restart"/>
            <w:vAlign w:val="center"/>
          </w:tcPr>
          <w:p w14:paraId="25C4F1A8">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45</w:t>
            </w:r>
          </w:p>
        </w:tc>
      </w:tr>
      <w:tr w14:paraId="72B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15" w:type="dxa"/>
            <w:vMerge w:val="continue"/>
            <w:vAlign w:val="center"/>
          </w:tcPr>
          <w:p w14:paraId="412DE8A1">
            <w:pPr>
              <w:numPr>
                <w:ilvl w:val="0"/>
                <w:numId w:val="0"/>
              </w:numPr>
              <w:jc w:val="center"/>
              <w:rPr>
                <w:rFonts w:hint="default" w:ascii="FangSong_GB2312" w:hAnsi="FangSong_GB2312" w:eastAsia="FangSong_GB2312" w:cs="FangSong_GB2312"/>
                <w:color w:val="000000"/>
                <w:kern w:val="0"/>
                <w:sz w:val="24"/>
                <w:lang w:val="en-US" w:eastAsia="zh-CN" w:bidi="ar"/>
              </w:rPr>
            </w:pPr>
          </w:p>
        </w:tc>
        <w:tc>
          <w:tcPr>
            <w:tcW w:w="2838" w:type="dxa"/>
            <w:vAlign w:val="center"/>
          </w:tcPr>
          <w:p w14:paraId="0BD9206E">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短信平台接口</w:t>
            </w:r>
          </w:p>
        </w:tc>
        <w:tc>
          <w:tcPr>
            <w:tcW w:w="4825" w:type="dxa"/>
            <w:vAlign w:val="center"/>
          </w:tcPr>
          <w:p w14:paraId="20E3B770">
            <w:pPr>
              <w:numPr>
                <w:ilvl w:val="0"/>
                <w:numId w:val="0"/>
              </w:numPr>
              <w:jc w:val="left"/>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预约成功后发送短信/微信通知到患者手机。腾讯云/阿里云。</w:t>
            </w:r>
          </w:p>
        </w:tc>
        <w:tc>
          <w:tcPr>
            <w:tcW w:w="1287" w:type="dxa"/>
            <w:vMerge w:val="continue"/>
          </w:tcPr>
          <w:p w14:paraId="556DCD71">
            <w:pPr>
              <w:numPr>
                <w:ilvl w:val="0"/>
                <w:numId w:val="0"/>
              </w:numPr>
              <w:jc w:val="center"/>
              <w:rPr>
                <w:rFonts w:hint="default" w:ascii="FangSong_GB2312" w:hAnsi="FangSong_GB2312" w:eastAsia="FangSong_GB2312" w:cs="FangSong_GB2312"/>
                <w:color w:val="000000"/>
                <w:kern w:val="0"/>
                <w:sz w:val="24"/>
                <w:lang w:val="en-US" w:eastAsia="zh-CN" w:bidi="ar"/>
              </w:rPr>
            </w:pPr>
          </w:p>
        </w:tc>
      </w:tr>
      <w:tr w14:paraId="4A88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315" w:type="dxa"/>
            <w:vMerge w:val="continue"/>
            <w:vAlign w:val="center"/>
          </w:tcPr>
          <w:p w14:paraId="2C2A3913">
            <w:pPr>
              <w:numPr>
                <w:ilvl w:val="0"/>
                <w:numId w:val="0"/>
              </w:numPr>
              <w:jc w:val="center"/>
              <w:rPr>
                <w:rFonts w:hint="default" w:ascii="FangSong_GB2312" w:hAnsi="FangSong_GB2312" w:eastAsia="FangSong_GB2312" w:cs="FangSong_GB2312"/>
                <w:color w:val="000000"/>
                <w:kern w:val="0"/>
                <w:sz w:val="24"/>
                <w:lang w:val="en-US" w:eastAsia="zh-CN" w:bidi="ar"/>
              </w:rPr>
            </w:pPr>
          </w:p>
        </w:tc>
        <w:tc>
          <w:tcPr>
            <w:tcW w:w="2838" w:type="dxa"/>
            <w:vAlign w:val="center"/>
          </w:tcPr>
          <w:p w14:paraId="7FB4AFFA">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自助签到机</w:t>
            </w:r>
          </w:p>
        </w:tc>
        <w:tc>
          <w:tcPr>
            <w:tcW w:w="4825" w:type="dxa"/>
            <w:vAlign w:val="center"/>
          </w:tcPr>
          <w:p w14:paraId="073A64C9">
            <w:pPr>
              <w:numPr>
                <w:ilvl w:val="0"/>
                <w:numId w:val="0"/>
              </w:numPr>
              <w:jc w:val="left"/>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含：自助签到机6台。</w:t>
            </w:r>
          </w:p>
        </w:tc>
        <w:tc>
          <w:tcPr>
            <w:tcW w:w="1287" w:type="dxa"/>
            <w:vMerge w:val="continue"/>
          </w:tcPr>
          <w:p w14:paraId="320D67F6">
            <w:pPr>
              <w:numPr>
                <w:ilvl w:val="0"/>
                <w:numId w:val="0"/>
              </w:numPr>
              <w:jc w:val="center"/>
              <w:rPr>
                <w:rFonts w:hint="default" w:ascii="FangSong_GB2312" w:hAnsi="FangSong_GB2312" w:eastAsia="FangSong_GB2312" w:cs="FangSong_GB2312"/>
                <w:color w:val="000000"/>
                <w:kern w:val="0"/>
                <w:sz w:val="24"/>
                <w:lang w:val="en-US" w:eastAsia="zh-CN" w:bidi="ar"/>
              </w:rPr>
            </w:pPr>
          </w:p>
        </w:tc>
      </w:tr>
      <w:tr w14:paraId="36E1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315" w:type="dxa"/>
            <w:vMerge w:val="continue"/>
            <w:vAlign w:val="center"/>
          </w:tcPr>
          <w:p w14:paraId="25676E2F">
            <w:pPr>
              <w:numPr>
                <w:ilvl w:val="0"/>
                <w:numId w:val="0"/>
              </w:numPr>
              <w:jc w:val="center"/>
              <w:rPr>
                <w:rFonts w:hint="default" w:ascii="FangSong_GB2312" w:hAnsi="FangSong_GB2312" w:eastAsia="FangSong_GB2312" w:cs="FangSong_GB2312"/>
                <w:color w:val="000000"/>
                <w:kern w:val="0"/>
                <w:sz w:val="24"/>
                <w:lang w:val="en-US" w:eastAsia="zh-CN" w:bidi="ar"/>
              </w:rPr>
            </w:pPr>
          </w:p>
        </w:tc>
        <w:tc>
          <w:tcPr>
            <w:tcW w:w="2838" w:type="dxa"/>
            <w:vAlign w:val="center"/>
          </w:tcPr>
          <w:p w14:paraId="4B4BA8C9">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系统集成接口</w:t>
            </w:r>
          </w:p>
        </w:tc>
        <w:tc>
          <w:tcPr>
            <w:tcW w:w="4825" w:type="dxa"/>
            <w:vAlign w:val="center"/>
          </w:tcPr>
          <w:p w14:paraId="07789CBF">
            <w:pPr>
              <w:numPr>
                <w:ilvl w:val="0"/>
                <w:numId w:val="0"/>
              </w:numPr>
              <w:jc w:val="left"/>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含：HIS系统接口、影像系统接口、检验系统接口、内镜系统接口、心电系统接口、排队叫号接口、医院公众号接口、自助机接口、短信平台接口、微信通知接口等</w:t>
            </w:r>
          </w:p>
        </w:tc>
        <w:tc>
          <w:tcPr>
            <w:tcW w:w="1287" w:type="dxa"/>
            <w:vMerge w:val="continue"/>
          </w:tcPr>
          <w:p w14:paraId="7DC5798B">
            <w:pPr>
              <w:numPr>
                <w:ilvl w:val="0"/>
                <w:numId w:val="0"/>
              </w:numPr>
              <w:jc w:val="center"/>
              <w:rPr>
                <w:rFonts w:hint="default" w:ascii="FangSong_GB2312" w:hAnsi="FangSong_GB2312" w:eastAsia="FangSong_GB2312" w:cs="FangSong_GB2312"/>
                <w:color w:val="000000"/>
                <w:kern w:val="0"/>
                <w:sz w:val="24"/>
                <w:lang w:val="en-US" w:eastAsia="zh-CN" w:bidi="ar"/>
              </w:rPr>
            </w:pPr>
          </w:p>
        </w:tc>
      </w:tr>
      <w:tr w14:paraId="64C1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315" w:type="dxa"/>
            <w:vMerge w:val="continue"/>
            <w:vAlign w:val="center"/>
          </w:tcPr>
          <w:p w14:paraId="3765F366">
            <w:pPr>
              <w:numPr>
                <w:ilvl w:val="0"/>
                <w:numId w:val="0"/>
              </w:numPr>
              <w:jc w:val="center"/>
              <w:rPr>
                <w:rFonts w:hint="default" w:ascii="FangSong_GB2312" w:hAnsi="FangSong_GB2312" w:eastAsia="FangSong_GB2312" w:cs="FangSong_GB2312"/>
                <w:color w:val="000000"/>
                <w:kern w:val="0"/>
                <w:sz w:val="24"/>
                <w:lang w:val="en-US" w:eastAsia="zh-CN" w:bidi="ar"/>
              </w:rPr>
            </w:pPr>
          </w:p>
        </w:tc>
        <w:tc>
          <w:tcPr>
            <w:tcW w:w="2838" w:type="dxa"/>
            <w:vAlign w:val="center"/>
          </w:tcPr>
          <w:p w14:paraId="5FF15C68">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短信平台</w:t>
            </w:r>
          </w:p>
        </w:tc>
        <w:tc>
          <w:tcPr>
            <w:tcW w:w="4825" w:type="dxa"/>
            <w:vAlign w:val="center"/>
          </w:tcPr>
          <w:p w14:paraId="661A3740">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含：首次采购10万条短信，腾讯云/阿里云。</w:t>
            </w:r>
          </w:p>
        </w:tc>
        <w:tc>
          <w:tcPr>
            <w:tcW w:w="1287" w:type="dxa"/>
            <w:vMerge w:val="continue"/>
          </w:tcPr>
          <w:p w14:paraId="3AEF5302">
            <w:pPr>
              <w:numPr>
                <w:ilvl w:val="0"/>
                <w:numId w:val="0"/>
              </w:numPr>
              <w:jc w:val="center"/>
              <w:rPr>
                <w:rFonts w:hint="default" w:ascii="FangSong_GB2312" w:hAnsi="FangSong_GB2312" w:eastAsia="FangSong_GB2312" w:cs="FangSong_GB2312"/>
                <w:color w:val="000000"/>
                <w:kern w:val="0"/>
                <w:sz w:val="24"/>
                <w:lang w:val="en-US" w:eastAsia="zh-CN" w:bidi="ar"/>
              </w:rPr>
            </w:pPr>
          </w:p>
        </w:tc>
      </w:tr>
    </w:tbl>
    <w:p w14:paraId="30B97DB1">
      <w:pPr>
        <w:pStyle w:val="11"/>
        <w:spacing w:before="0" w:beforeAutospacing="0" w:after="0" w:afterAutospacing="0" w:line="440" w:lineRule="exact"/>
        <w:jc w:val="center"/>
        <w:rPr>
          <w:rFonts w:hint="eastAsia" w:cs="宋体"/>
          <w:b/>
          <w:bCs/>
          <w:sz w:val="30"/>
          <w:szCs w:val="30"/>
          <w:lang w:val="en-US" w:eastAsia="zh-CN"/>
        </w:rPr>
      </w:pPr>
    </w:p>
    <w:p w14:paraId="3410ED00">
      <w:pPr>
        <w:pStyle w:val="11"/>
        <w:spacing w:before="0" w:beforeAutospacing="0" w:after="0" w:afterAutospacing="0" w:line="440" w:lineRule="exact"/>
        <w:jc w:val="center"/>
        <w:rPr>
          <w:rFonts w:hint="eastAsia" w:cs="宋体"/>
          <w:b/>
          <w:bCs/>
          <w:sz w:val="30"/>
          <w:szCs w:val="30"/>
          <w:lang w:val="en-US" w:eastAsia="zh-CN"/>
        </w:rPr>
      </w:pPr>
    </w:p>
    <w:p w14:paraId="47A02ECD">
      <w:pPr>
        <w:pStyle w:val="11"/>
        <w:spacing w:before="0" w:beforeAutospacing="0" w:after="0" w:afterAutospacing="0" w:line="440" w:lineRule="exact"/>
        <w:jc w:val="center"/>
        <w:rPr>
          <w:rFonts w:hint="eastAsia" w:cs="宋体"/>
          <w:b/>
          <w:bCs/>
          <w:sz w:val="30"/>
          <w:szCs w:val="30"/>
          <w:lang w:val="en-US" w:eastAsia="zh-CN"/>
        </w:rPr>
      </w:pPr>
    </w:p>
    <w:p w14:paraId="7EE5475E">
      <w:pPr>
        <w:pStyle w:val="11"/>
        <w:spacing w:before="0" w:beforeAutospacing="0" w:after="0" w:afterAutospacing="0" w:line="440" w:lineRule="exact"/>
        <w:jc w:val="center"/>
        <w:rPr>
          <w:rFonts w:hint="eastAsia" w:cs="宋体"/>
          <w:b/>
          <w:bCs/>
          <w:sz w:val="30"/>
          <w:szCs w:val="30"/>
          <w:lang w:val="en-US" w:eastAsia="zh-CN"/>
        </w:rPr>
      </w:pPr>
    </w:p>
    <w:p w14:paraId="23FF1490">
      <w:pPr>
        <w:pStyle w:val="11"/>
        <w:spacing w:before="0" w:beforeAutospacing="0" w:after="0" w:afterAutospacing="0" w:line="440" w:lineRule="exact"/>
        <w:jc w:val="center"/>
        <w:rPr>
          <w:rFonts w:hint="eastAsia" w:cs="宋体"/>
          <w:b/>
          <w:bCs/>
          <w:sz w:val="30"/>
          <w:szCs w:val="30"/>
          <w:lang w:val="en-US" w:eastAsia="zh-CN"/>
        </w:rPr>
      </w:pPr>
    </w:p>
    <w:p w14:paraId="15ACF176">
      <w:pPr>
        <w:pStyle w:val="11"/>
        <w:spacing w:before="0" w:beforeAutospacing="0" w:after="0" w:afterAutospacing="0" w:line="440" w:lineRule="exact"/>
        <w:jc w:val="center"/>
        <w:rPr>
          <w:rFonts w:hint="eastAsia" w:cs="宋体"/>
          <w:b/>
          <w:bCs/>
          <w:sz w:val="30"/>
          <w:szCs w:val="30"/>
          <w:lang w:val="en-US" w:eastAsia="zh-CN"/>
        </w:rPr>
      </w:pPr>
    </w:p>
    <w:p w14:paraId="36393BAE">
      <w:pPr>
        <w:pStyle w:val="11"/>
        <w:spacing w:before="0" w:beforeAutospacing="0" w:after="0" w:afterAutospacing="0" w:line="440" w:lineRule="exact"/>
        <w:jc w:val="center"/>
        <w:rPr>
          <w:rFonts w:hint="eastAsia" w:cs="宋体"/>
          <w:b/>
          <w:bCs/>
          <w:sz w:val="30"/>
          <w:szCs w:val="30"/>
          <w:lang w:val="en-US" w:eastAsia="zh-CN"/>
        </w:rPr>
      </w:pPr>
    </w:p>
    <w:p w14:paraId="0F49C809">
      <w:pPr>
        <w:pStyle w:val="11"/>
        <w:spacing w:before="0" w:beforeAutospacing="0" w:after="0" w:afterAutospacing="0" w:line="440" w:lineRule="exact"/>
        <w:jc w:val="center"/>
        <w:rPr>
          <w:rFonts w:hint="eastAsia" w:cs="宋体"/>
          <w:b/>
          <w:bCs/>
          <w:sz w:val="30"/>
          <w:szCs w:val="30"/>
          <w:lang w:val="en-US" w:eastAsia="zh-CN"/>
        </w:rPr>
      </w:pPr>
    </w:p>
    <w:p w14:paraId="165F3A38">
      <w:pPr>
        <w:pStyle w:val="11"/>
        <w:spacing w:before="0" w:beforeAutospacing="0" w:after="0" w:afterAutospacing="0" w:line="440" w:lineRule="exact"/>
        <w:jc w:val="center"/>
        <w:rPr>
          <w:rFonts w:hint="eastAsia" w:cs="宋体"/>
          <w:b/>
          <w:bCs/>
          <w:sz w:val="30"/>
          <w:szCs w:val="30"/>
          <w:lang w:val="en-US" w:eastAsia="zh-CN"/>
        </w:rPr>
      </w:pPr>
    </w:p>
    <w:p w14:paraId="3F237DF0">
      <w:pPr>
        <w:pStyle w:val="11"/>
        <w:spacing w:before="0" w:beforeAutospacing="0" w:after="0" w:afterAutospacing="0" w:line="440" w:lineRule="exact"/>
        <w:jc w:val="center"/>
        <w:rPr>
          <w:rFonts w:hint="eastAsia" w:cs="宋体"/>
          <w:b/>
          <w:bCs/>
          <w:sz w:val="30"/>
          <w:szCs w:val="30"/>
          <w:lang w:val="en-US" w:eastAsia="zh-CN"/>
        </w:rPr>
      </w:pPr>
    </w:p>
    <w:p w14:paraId="4B51A14F">
      <w:pPr>
        <w:pStyle w:val="11"/>
        <w:spacing w:before="0" w:beforeAutospacing="0" w:after="0" w:afterAutospacing="0" w:line="440" w:lineRule="exact"/>
        <w:jc w:val="center"/>
        <w:rPr>
          <w:rFonts w:hint="eastAsia" w:cs="宋体"/>
          <w:b/>
          <w:bCs/>
          <w:sz w:val="30"/>
          <w:szCs w:val="30"/>
          <w:lang w:val="en-US" w:eastAsia="zh-CN"/>
        </w:rPr>
      </w:pPr>
    </w:p>
    <w:p w14:paraId="51897C14">
      <w:pPr>
        <w:pStyle w:val="11"/>
        <w:spacing w:before="0" w:beforeAutospacing="0" w:after="0" w:afterAutospacing="0" w:line="440" w:lineRule="exact"/>
        <w:jc w:val="center"/>
        <w:rPr>
          <w:rFonts w:hint="eastAsia" w:cs="宋体"/>
          <w:b/>
          <w:bCs/>
          <w:sz w:val="30"/>
          <w:szCs w:val="30"/>
          <w:lang w:val="en-US" w:eastAsia="zh-CN"/>
        </w:rPr>
      </w:pPr>
    </w:p>
    <w:p w14:paraId="37754D48">
      <w:pPr>
        <w:pStyle w:val="11"/>
        <w:spacing w:before="0" w:beforeAutospacing="0" w:after="0" w:afterAutospacing="0" w:line="440" w:lineRule="exact"/>
        <w:jc w:val="left"/>
        <w:rPr>
          <w:rFonts w:hint="eastAsia" w:cs="宋体"/>
          <w:b/>
          <w:bCs/>
          <w:sz w:val="30"/>
          <w:szCs w:val="30"/>
          <w:lang w:val="en-US" w:eastAsia="zh-CN"/>
        </w:rPr>
      </w:pPr>
    </w:p>
    <w:p w14:paraId="7BA8A114">
      <w:pPr>
        <w:pStyle w:val="11"/>
        <w:spacing w:before="0" w:beforeAutospacing="0" w:after="0" w:afterAutospacing="0" w:line="440" w:lineRule="exact"/>
        <w:jc w:val="left"/>
        <w:rPr>
          <w:rFonts w:hint="default" w:cs="宋体"/>
          <w:b/>
          <w:bCs/>
          <w:sz w:val="30"/>
          <w:szCs w:val="30"/>
          <w:lang w:val="en-US" w:eastAsia="zh-CN"/>
        </w:rPr>
      </w:pPr>
      <w:r>
        <w:rPr>
          <w:rFonts w:hint="eastAsia" w:cs="宋体"/>
          <w:b/>
          <w:bCs/>
          <w:sz w:val="30"/>
          <w:szCs w:val="30"/>
          <w:lang w:val="en-US" w:eastAsia="zh-CN"/>
        </w:rPr>
        <w:t>附件2：评分方法</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36"/>
        <w:gridCol w:w="1693"/>
        <w:gridCol w:w="5793"/>
      </w:tblGrid>
      <w:tr w14:paraId="1A895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4D88E70D">
            <w:pPr>
              <w:keepNext w:val="0"/>
              <w:keepLines w:val="0"/>
              <w:widowControl/>
              <w:numPr>
                <w:ilvl w:val="0"/>
                <w:numId w:val="1"/>
              </w:numPr>
              <w:suppressLineNumbers w:val="0"/>
              <w:ind w:left="454" w:leftChars="0" w:hanging="454" w:firstLineChars="0"/>
              <w:jc w:val="center"/>
              <w:outlineLvl w:val="0"/>
              <w:rPr>
                <w:rFonts w:hint="eastAsia" w:ascii="仿宋_GB2312" w:hAnsi="仿宋_GB2312" w:eastAsia="仿宋_GB2312" w:cs="仿宋_GB2312"/>
                <w:b/>
                <w:bCs/>
                <w:color w:val="000000"/>
                <w:kern w:val="0"/>
                <w:sz w:val="28"/>
                <w:szCs w:val="28"/>
                <w:lang w:val="en-US" w:eastAsia="zh-CN" w:bidi="ar"/>
              </w:rPr>
            </w:pPr>
          </w:p>
        </w:tc>
        <w:tc>
          <w:tcPr>
            <w:tcW w:w="7486" w:type="dxa"/>
            <w:gridSpan w:val="2"/>
            <w:tcBorders>
              <w:tl2br w:val="nil"/>
              <w:tr2bl w:val="nil"/>
            </w:tcBorders>
          </w:tcPr>
          <w:p w14:paraId="12D53430">
            <w:pPr>
              <w:keepNext w:val="0"/>
              <w:keepLines w:val="0"/>
              <w:widowControl/>
              <w:suppressLineNumbers w:val="0"/>
              <w:jc w:val="left"/>
              <w:outlineLvl w:val="0"/>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报价分：(满分 25 分)</w:t>
            </w:r>
          </w:p>
        </w:tc>
      </w:tr>
      <w:tr w14:paraId="34033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601267B2">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序号</w:t>
            </w:r>
          </w:p>
        </w:tc>
        <w:tc>
          <w:tcPr>
            <w:tcW w:w="1693" w:type="dxa"/>
            <w:tcBorders>
              <w:tl2br w:val="nil"/>
              <w:tr2bl w:val="nil"/>
            </w:tcBorders>
            <w:vAlign w:val="center"/>
          </w:tcPr>
          <w:p w14:paraId="7231F4BF">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评审内容</w:t>
            </w:r>
          </w:p>
        </w:tc>
        <w:tc>
          <w:tcPr>
            <w:tcW w:w="5793" w:type="dxa"/>
            <w:tcBorders>
              <w:tl2br w:val="nil"/>
              <w:tr2bl w:val="nil"/>
            </w:tcBorders>
            <w:vAlign w:val="center"/>
          </w:tcPr>
          <w:p w14:paraId="0A919FFF">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评分标准</w:t>
            </w:r>
          </w:p>
        </w:tc>
      </w:tr>
      <w:tr w14:paraId="3014B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56BC382C">
            <w:pPr>
              <w:numPr>
                <w:ilvl w:val="1"/>
                <w:numId w:val="2"/>
              </w:numPr>
              <w:tabs>
                <w:tab w:val="left" w:pos="420"/>
                <w:tab w:val="clear" w:pos="0"/>
              </w:tabs>
              <w:ind w:left="567" w:leftChars="0" w:hanging="567" w:firstLineChars="0"/>
              <w:jc w:val="center"/>
              <w:outlineLvl w:val="9"/>
              <w:rPr>
                <w:rFonts w:hint="default"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02C8D570">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投标报价分=（评标基准价／投标报价）×25%×100</w:t>
            </w:r>
          </w:p>
        </w:tc>
        <w:tc>
          <w:tcPr>
            <w:tcW w:w="5793" w:type="dxa"/>
            <w:tcBorders>
              <w:tl2br w:val="nil"/>
              <w:tr2bl w:val="nil"/>
            </w:tcBorders>
          </w:tcPr>
          <w:p w14:paraId="689AD291">
            <w:pPr>
              <w:ind w:left="0" w:leftChars="0" w:firstLine="420" w:firstLineChars="175"/>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价格分采用低价优先法计算，即满足投标文件要求且投标价格最低的投标报价为评标基准价，其价格分为满分。其余投标人价格分统一按照下列公式计算：</w:t>
            </w:r>
          </w:p>
          <w:p w14:paraId="2C5EC383">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投标报价得分＝（评标基准价／投标报价）×25%×100（保留两位小数）</w:t>
            </w:r>
          </w:p>
          <w:p w14:paraId="71B5CD3D">
            <w:pPr>
              <w:ind w:left="0" w:leftChars="0" w:firstLine="420" w:firstLineChars="175"/>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注： </w:t>
            </w:r>
          </w:p>
          <w:p w14:paraId="1F1A4E8C">
            <w:pPr>
              <w:ind w:left="0" w:leftChars="0" w:firstLine="420" w:firstLineChars="175"/>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1.评标基准价指满足投标文件全部实质性要求且投标价格最低的投标报价；</w:t>
            </w:r>
          </w:p>
          <w:p w14:paraId="048AA764">
            <w:pPr>
              <w:ind w:left="0" w:leftChars="0" w:firstLine="420" w:firstLineChars="175"/>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评审委员会认为投标供应商的报价明显低于其他通过资格审查的投标供应商的报价，有可能不能诚信履约的，供应商应在评标现场合理的时间内提供书面说明，必要时提供相关证明材料。供应商不能合理说明其报价合理性的，其投标无效。若投标人报价超过采购人预算价，则作无效标处理。当所有投标人的投标报价均超过采购人预算价，本项目作废标处理。</w:t>
            </w:r>
          </w:p>
        </w:tc>
      </w:tr>
      <w:tr w14:paraId="4D50A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55072024">
            <w:pPr>
              <w:keepNext w:val="0"/>
              <w:keepLines w:val="0"/>
              <w:widowControl/>
              <w:numPr>
                <w:ilvl w:val="0"/>
                <w:numId w:val="1"/>
              </w:numPr>
              <w:suppressLineNumbers w:val="0"/>
              <w:ind w:left="454" w:leftChars="0" w:hanging="454" w:firstLineChars="0"/>
              <w:jc w:val="center"/>
              <w:outlineLvl w:val="0"/>
              <w:rPr>
                <w:rFonts w:hint="eastAsia" w:ascii="仿宋_GB2312" w:hAnsi="仿宋_GB2312" w:eastAsia="仿宋_GB2312" w:cs="仿宋_GB2312"/>
                <w:b/>
                <w:bCs/>
                <w:color w:val="000000"/>
                <w:kern w:val="0"/>
                <w:sz w:val="28"/>
                <w:szCs w:val="28"/>
                <w:lang w:val="en-US" w:eastAsia="zh-CN" w:bidi="ar"/>
              </w:rPr>
            </w:pPr>
          </w:p>
        </w:tc>
        <w:tc>
          <w:tcPr>
            <w:tcW w:w="7486" w:type="dxa"/>
            <w:gridSpan w:val="2"/>
            <w:tcBorders>
              <w:tl2br w:val="nil"/>
              <w:tr2bl w:val="nil"/>
            </w:tcBorders>
          </w:tcPr>
          <w:p w14:paraId="3386459A">
            <w:pPr>
              <w:keepNext w:val="0"/>
              <w:keepLines w:val="0"/>
              <w:widowControl/>
              <w:suppressLineNumbers w:val="0"/>
              <w:jc w:val="left"/>
              <w:outlineLvl w:val="0"/>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color w:val="000000"/>
                <w:kern w:val="0"/>
                <w:sz w:val="28"/>
                <w:szCs w:val="28"/>
                <w:lang w:val="en-US" w:eastAsia="zh-CN" w:bidi="ar"/>
              </w:rPr>
              <w:t>技术分：(满分 50 分)</w:t>
            </w:r>
          </w:p>
        </w:tc>
      </w:tr>
      <w:tr w14:paraId="1F550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59869DD3">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序号</w:t>
            </w:r>
          </w:p>
        </w:tc>
        <w:tc>
          <w:tcPr>
            <w:tcW w:w="1693" w:type="dxa"/>
            <w:tcBorders>
              <w:tl2br w:val="nil"/>
              <w:tr2bl w:val="nil"/>
            </w:tcBorders>
            <w:vAlign w:val="center"/>
          </w:tcPr>
          <w:p w14:paraId="41196D6A">
            <w:pPr>
              <w:jc w:val="center"/>
              <w:rPr>
                <w:rFonts w:hint="eastAsia" w:ascii="仿宋_GB2312" w:hAnsi="仿宋_GB2312" w:eastAsia="仿宋_GB2312" w:cs="仿宋_GB2312"/>
                <w:b/>
                <w:bCs/>
                <w:kern w:val="2"/>
                <w:sz w:val="24"/>
                <w:szCs w:val="32"/>
                <w:vertAlign w:val="baseline"/>
                <w:lang w:val="en-US" w:eastAsia="zh-CN" w:bidi="ar-SA"/>
              </w:rPr>
            </w:pPr>
            <w:r>
              <w:rPr>
                <w:rFonts w:hint="eastAsia" w:ascii="仿宋_GB2312" w:hAnsi="仿宋_GB2312" w:eastAsia="仿宋_GB2312" w:cs="仿宋_GB2312"/>
                <w:b/>
                <w:bCs/>
                <w:sz w:val="24"/>
                <w:szCs w:val="32"/>
                <w:vertAlign w:val="baseline"/>
                <w:lang w:val="en-US" w:eastAsia="zh-CN"/>
              </w:rPr>
              <w:t>评审内容</w:t>
            </w:r>
          </w:p>
        </w:tc>
        <w:tc>
          <w:tcPr>
            <w:tcW w:w="5793" w:type="dxa"/>
            <w:tcBorders>
              <w:tl2br w:val="nil"/>
              <w:tr2bl w:val="nil"/>
            </w:tcBorders>
            <w:vAlign w:val="center"/>
          </w:tcPr>
          <w:p w14:paraId="7DE1BDDC">
            <w:pPr>
              <w:jc w:val="center"/>
              <w:rPr>
                <w:rFonts w:hint="eastAsia" w:ascii="仿宋_GB2312" w:hAnsi="仿宋_GB2312" w:eastAsia="仿宋_GB2312" w:cs="仿宋_GB2312"/>
                <w:b/>
                <w:bCs/>
                <w:kern w:val="2"/>
                <w:sz w:val="24"/>
                <w:szCs w:val="32"/>
                <w:vertAlign w:val="baseline"/>
                <w:lang w:val="en-US" w:eastAsia="zh-CN" w:bidi="ar-SA"/>
              </w:rPr>
            </w:pPr>
            <w:r>
              <w:rPr>
                <w:rFonts w:hint="eastAsia" w:ascii="仿宋_GB2312" w:hAnsi="仿宋_GB2312" w:eastAsia="仿宋_GB2312" w:cs="仿宋_GB2312"/>
                <w:b/>
                <w:bCs/>
                <w:sz w:val="24"/>
                <w:szCs w:val="32"/>
                <w:vertAlign w:val="baseline"/>
                <w:lang w:val="en-US" w:eastAsia="zh-CN"/>
              </w:rPr>
              <w:t>评分标准</w:t>
            </w:r>
          </w:p>
        </w:tc>
      </w:tr>
      <w:tr w14:paraId="463B9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0B9BA480">
            <w:pPr>
              <w:numPr>
                <w:ilvl w:val="1"/>
                <w:numId w:val="3"/>
              </w:numPr>
              <w:tabs>
                <w:tab w:val="left" w:pos="420"/>
                <w:tab w:val="clear" w:pos="0"/>
              </w:tabs>
              <w:ind w:left="567" w:leftChars="0" w:hanging="567" w:firstLineChars="0"/>
              <w:jc w:val="center"/>
              <w:outlineLvl w:val="9"/>
              <w:rPr>
                <w:rFonts w:hint="eastAsia"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24BE5F7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投标响应评价</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满分42分</w:t>
            </w:r>
            <w:r>
              <w:rPr>
                <w:rFonts w:hint="eastAsia" w:ascii="仿宋_GB2312" w:hAnsi="仿宋_GB2312" w:eastAsia="仿宋_GB2312" w:cs="仿宋_GB2312"/>
                <w:sz w:val="24"/>
                <w:szCs w:val="24"/>
                <w:vertAlign w:val="baseline"/>
                <w:lang w:eastAsia="zh-CN"/>
              </w:rPr>
              <w:t>）</w:t>
            </w:r>
          </w:p>
        </w:tc>
        <w:tc>
          <w:tcPr>
            <w:tcW w:w="5793" w:type="dxa"/>
            <w:tcBorders>
              <w:tl2br w:val="nil"/>
              <w:tr2bl w:val="nil"/>
            </w:tcBorders>
          </w:tcPr>
          <w:p w14:paraId="74F90F36">
            <w:pPr>
              <w:numPr>
                <w:ilvl w:val="0"/>
                <w:numId w:val="4"/>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完全满足技术指标和要求的，得42分。</w:t>
            </w:r>
          </w:p>
          <w:p w14:paraId="726FC6E4">
            <w:pPr>
              <w:numPr>
                <w:ilvl w:val="0"/>
                <w:numId w:val="4"/>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技术参数中标注▲符号条款一项不满足扣3分，有5项及以上不满足的该项为零分。</w:t>
            </w:r>
          </w:p>
          <w:p w14:paraId="586EB9BE">
            <w:pPr>
              <w:numPr>
                <w:ilvl w:val="0"/>
                <w:numId w:val="4"/>
              </w:numPr>
              <w:ind w:left="5" w:leftChars="0" w:firstLine="415" w:firstLineChars="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非▲号技术条款1项不满足的扣1分，扣完为止。</w:t>
            </w:r>
          </w:p>
          <w:p w14:paraId="3CEA4DC2">
            <w:pPr>
              <w:numPr>
                <w:ilvl w:val="0"/>
                <w:numId w:val="4"/>
              </w:numPr>
              <w:ind w:left="5" w:leftChars="0" w:firstLine="415" w:firstLineChars="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若</w:t>
            </w:r>
            <w:r>
              <w:rPr>
                <w:rFonts w:hint="eastAsia" w:ascii="仿宋_GB2312" w:hAnsi="仿宋_GB2312" w:eastAsia="仿宋_GB2312" w:cs="仿宋_GB2312"/>
                <w:sz w:val="24"/>
                <w:szCs w:val="24"/>
                <w:vertAlign w:val="baseline"/>
              </w:rPr>
              <w:t>投标响应评价</w:t>
            </w:r>
            <w:r>
              <w:rPr>
                <w:rFonts w:hint="eastAsia" w:ascii="仿宋_GB2312" w:hAnsi="仿宋_GB2312" w:eastAsia="仿宋_GB2312" w:cs="仿宋_GB2312"/>
                <w:sz w:val="24"/>
                <w:szCs w:val="24"/>
                <w:vertAlign w:val="baseline"/>
                <w:lang w:val="en-US" w:eastAsia="zh-CN"/>
              </w:rPr>
              <w:t>分不足30分（不含30分），视为不满足本次招标项目实质性要求，不予采购。</w:t>
            </w:r>
          </w:p>
        </w:tc>
      </w:tr>
      <w:tr w14:paraId="03555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5934F58F">
            <w:pPr>
              <w:numPr>
                <w:ilvl w:val="1"/>
                <w:numId w:val="3"/>
              </w:numPr>
              <w:tabs>
                <w:tab w:val="left" w:pos="420"/>
                <w:tab w:val="clear" w:pos="0"/>
              </w:tabs>
              <w:ind w:left="567" w:leftChars="0" w:hanging="567" w:firstLineChars="0"/>
              <w:jc w:val="center"/>
              <w:outlineLvl w:val="9"/>
              <w:rPr>
                <w:rFonts w:hint="eastAsia"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42F1FC22">
            <w:pPr>
              <w:pStyle w:val="37"/>
              <w:spacing w:before="3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实施方案评价</w:t>
            </w:r>
          </w:p>
          <w:p w14:paraId="0F8D7AB0">
            <w:pPr>
              <w:pStyle w:val="37"/>
              <w:spacing w:before="3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满分8分</w:t>
            </w:r>
            <w:r>
              <w:rPr>
                <w:rFonts w:hint="eastAsia" w:ascii="仿宋_GB2312" w:hAnsi="仿宋_GB2312" w:eastAsia="仿宋_GB2312" w:cs="仿宋_GB2312"/>
                <w:sz w:val="24"/>
                <w:szCs w:val="24"/>
                <w:lang w:eastAsia="zh-CN"/>
              </w:rPr>
              <w:t>）</w:t>
            </w:r>
          </w:p>
        </w:tc>
        <w:tc>
          <w:tcPr>
            <w:tcW w:w="5793" w:type="dxa"/>
            <w:tcBorders>
              <w:tl2br w:val="nil"/>
              <w:tr2bl w:val="nil"/>
            </w:tcBorders>
            <w:vAlign w:val="center"/>
          </w:tcPr>
          <w:p w14:paraId="5FC4867A">
            <w:pPr>
              <w:pStyle w:val="37"/>
              <w:spacing w:before="31"/>
              <w:ind w:left="0" w:leftChars="0" w:firstLine="420" w:firstLineChars="175"/>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投标公司提供整个项目的整体方案（含设计、人员安排、项目计划和进度等）。 </w:t>
            </w:r>
          </w:p>
          <w:p w14:paraId="7165548E">
            <w:pPr>
              <w:numPr>
                <w:ilvl w:val="0"/>
                <w:numId w:val="5"/>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提供的整体方案满足招标文件服务要求的，对用户现状有很深的了解，需求分析切合实际，总体设计完整，能提供详细的系统整体设计、方案完全符合标书要求，且方案整体性、可靠性、先进性、兼容性、可扩展性、可维护性、安全性好，描述了各模块的功能，模块功能描述具体详细，系统功能配置齐全，完全满足项目的需要；方案可行且具有一定的先进性，方案论述准确，技术新，提供的软件功能设计描述详细并完全符合项目要求，能够发掘现有的资源、要解决的问题、合理化建议，运维管理体系设计、安全保障体系设计等。得8分。 </w:t>
            </w:r>
          </w:p>
          <w:p w14:paraId="7B3E4F57">
            <w:pPr>
              <w:numPr>
                <w:ilvl w:val="0"/>
                <w:numId w:val="5"/>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提供的整体方案满足招标文件服务要求，系统设计思路基本正确、基本结构完整、技术可行，没有明显错误，方案整体性、可靠性、先进性、兼容性、可扩展性、可维护性、安全性一般，技术架构较简单可行，整体应用软件技术一般。方案包括了各模块的功能说明，但模块功能描述不够具体；方案不够详细。得 6 分。 </w:t>
            </w:r>
          </w:p>
          <w:p w14:paraId="6BCA1FDB">
            <w:pPr>
              <w:numPr>
                <w:ilvl w:val="0"/>
                <w:numId w:val="5"/>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提供整体方案基本满足招标文件服务要求，能提供概略的系统设计、技术简单、功能描述一般。得 4分。 </w:t>
            </w:r>
          </w:p>
          <w:p w14:paraId="4BBB1C5F">
            <w:pPr>
              <w:numPr>
                <w:ilvl w:val="0"/>
                <w:numId w:val="5"/>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提供的整体方案简单，无法说明其可行性，无法证明能够满足招标文件中功能要求及性能要求。得 2 分。 </w:t>
            </w:r>
          </w:p>
          <w:p w14:paraId="407E12DB">
            <w:pPr>
              <w:numPr>
                <w:ilvl w:val="0"/>
                <w:numId w:val="5"/>
              </w:numPr>
              <w:ind w:left="5" w:leftChars="0" w:firstLine="415"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未提供方案 0 分。</w:t>
            </w:r>
          </w:p>
        </w:tc>
      </w:tr>
      <w:tr w14:paraId="2E1EA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2CE67400">
            <w:pPr>
              <w:keepNext w:val="0"/>
              <w:keepLines w:val="0"/>
              <w:widowControl/>
              <w:numPr>
                <w:ilvl w:val="0"/>
                <w:numId w:val="1"/>
              </w:numPr>
              <w:suppressLineNumbers w:val="0"/>
              <w:ind w:left="454" w:leftChars="0" w:hanging="454" w:firstLineChars="0"/>
              <w:jc w:val="center"/>
              <w:rPr>
                <w:rFonts w:hint="default" w:ascii="仿宋_GB2312" w:hAnsi="仿宋_GB2312" w:eastAsia="仿宋_GB2312" w:cs="仿宋_GB2312"/>
                <w:b/>
                <w:bCs/>
                <w:color w:val="000000"/>
                <w:kern w:val="0"/>
                <w:sz w:val="28"/>
                <w:szCs w:val="28"/>
                <w:lang w:val="en-US" w:eastAsia="zh-CN" w:bidi="ar"/>
              </w:rPr>
            </w:pPr>
          </w:p>
        </w:tc>
        <w:tc>
          <w:tcPr>
            <w:tcW w:w="7486" w:type="dxa"/>
            <w:gridSpan w:val="2"/>
            <w:tcBorders>
              <w:tl2br w:val="nil"/>
              <w:tr2bl w:val="nil"/>
            </w:tcBorders>
          </w:tcPr>
          <w:p w14:paraId="7D9E6AA5">
            <w:pPr>
              <w:keepNext w:val="0"/>
              <w:keepLines w:val="0"/>
              <w:widowControl/>
              <w:suppressLineNumbers w:val="0"/>
              <w:jc w:val="left"/>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商务分：(满分 25 分)</w:t>
            </w:r>
          </w:p>
        </w:tc>
      </w:tr>
      <w:tr w14:paraId="4C8A7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4121902C">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序号</w:t>
            </w:r>
          </w:p>
        </w:tc>
        <w:tc>
          <w:tcPr>
            <w:tcW w:w="1693" w:type="dxa"/>
            <w:tcBorders>
              <w:tl2br w:val="nil"/>
              <w:tr2bl w:val="nil"/>
            </w:tcBorders>
            <w:vAlign w:val="center"/>
          </w:tcPr>
          <w:p w14:paraId="6F6D93A1">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评审内容</w:t>
            </w:r>
          </w:p>
        </w:tc>
        <w:tc>
          <w:tcPr>
            <w:tcW w:w="5793" w:type="dxa"/>
            <w:tcBorders>
              <w:tl2br w:val="nil"/>
              <w:tr2bl w:val="nil"/>
            </w:tcBorders>
            <w:vAlign w:val="center"/>
          </w:tcPr>
          <w:p w14:paraId="43FEC5A9">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评分标准</w:t>
            </w:r>
          </w:p>
        </w:tc>
      </w:tr>
      <w:tr w14:paraId="00BA3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128D77A8">
            <w:pPr>
              <w:numPr>
                <w:ilvl w:val="1"/>
                <w:numId w:val="6"/>
              </w:numPr>
              <w:tabs>
                <w:tab w:val="left" w:pos="420"/>
                <w:tab w:val="clear" w:pos="0"/>
              </w:tabs>
              <w:ind w:left="567" w:leftChars="0" w:hanging="567" w:firstLineChars="0"/>
              <w:jc w:val="center"/>
              <w:outlineLvl w:val="9"/>
              <w:rPr>
                <w:rFonts w:hint="default"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23A9F0DF">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同类型项目业绩（满分10分）</w:t>
            </w:r>
          </w:p>
        </w:tc>
        <w:tc>
          <w:tcPr>
            <w:tcW w:w="5793" w:type="dxa"/>
            <w:tcBorders>
              <w:tl2br w:val="nil"/>
              <w:tr2bl w:val="nil"/>
            </w:tcBorders>
            <w:vAlign w:val="center"/>
          </w:tcPr>
          <w:p w14:paraId="23292797">
            <w:pPr>
              <w:numPr>
                <w:ilvl w:val="0"/>
                <w:numId w:val="7"/>
              </w:numPr>
              <w:ind w:left="5" w:leftChars="0" w:hanging="5" w:firstLineChars="0"/>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提供自2022年10月1日起至今，投标软件产品具有同类型项目成功应用案例，三级甲等综合医院的合同证明或中标通知书，每提供一份合同得2分，最多得6分。</w:t>
            </w:r>
          </w:p>
          <w:p w14:paraId="1FEA9D4C">
            <w:pPr>
              <w:numPr>
                <w:ilvl w:val="0"/>
                <w:numId w:val="7"/>
              </w:numPr>
              <w:ind w:left="5" w:leftChars="0" w:hanging="5" w:firstLineChars="0"/>
              <w:jc w:val="left"/>
              <w:rPr>
                <w:rFonts w:hint="eastAsia" w:ascii="仿宋_GB2312" w:hAnsi="仿宋_GB2312" w:cs="仿宋_GB2312" w:eastAsiaTheme="minorEastAsia"/>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软件生产厂商具备区域建设扩展能力，提供软件生产厂商市级区域预约系统项目案例，</w:t>
            </w:r>
            <w:r>
              <w:rPr>
                <w:rFonts w:hint="eastAsia" w:ascii="宋体" w:hAnsi="宋体"/>
                <w:sz w:val="22"/>
              </w:rPr>
              <w:t>每</w:t>
            </w:r>
            <w:r>
              <w:rPr>
                <w:rFonts w:hint="eastAsia" w:ascii="仿宋_GB2312" w:hAnsi="仿宋_GB2312" w:eastAsia="仿宋_GB2312" w:cs="仿宋_GB2312"/>
                <w:color w:val="auto"/>
                <w:sz w:val="24"/>
                <w:szCs w:val="24"/>
                <w:vertAlign w:val="baseline"/>
                <w:lang w:val="en-US" w:eastAsia="zh-CN"/>
              </w:rPr>
              <w:t>提供一份合同</w:t>
            </w:r>
            <w:r>
              <w:rPr>
                <w:rFonts w:hint="eastAsia" w:ascii="宋体" w:hAnsi="宋体" w:eastAsia="仿宋_GB2312"/>
                <w:sz w:val="22"/>
                <w:lang w:val="en-US" w:eastAsia="zh-CN"/>
              </w:rPr>
              <w:t>得2</w:t>
            </w:r>
            <w:r>
              <w:rPr>
                <w:rFonts w:hint="eastAsia" w:ascii="宋体" w:hAnsi="宋体"/>
                <w:sz w:val="22"/>
              </w:rPr>
              <w:t>分，最多得</w:t>
            </w:r>
            <w:r>
              <w:rPr>
                <w:rFonts w:hint="eastAsia" w:ascii="宋体" w:hAnsi="宋体"/>
                <w:sz w:val="22"/>
                <w:lang w:val="en-US" w:eastAsia="zh-CN"/>
              </w:rPr>
              <w:t>4</w:t>
            </w:r>
            <w:r>
              <w:rPr>
                <w:rFonts w:hint="eastAsia" w:ascii="宋体" w:hAnsi="宋体"/>
                <w:sz w:val="22"/>
              </w:rPr>
              <w:t>分</w:t>
            </w:r>
            <w:r>
              <w:rPr>
                <w:rFonts w:hint="eastAsia" w:ascii="宋体" w:hAnsi="宋体"/>
                <w:sz w:val="22"/>
                <w:lang w:eastAsia="zh-CN"/>
              </w:rPr>
              <w:t>。</w:t>
            </w:r>
          </w:p>
          <w:p w14:paraId="736CA849">
            <w:pPr>
              <w:numPr>
                <w:ilvl w:val="0"/>
                <w:numId w:val="0"/>
              </w:numPr>
              <w:ind w:left="0" w:leftChars="0" w:firstLine="420" w:firstLineChars="175"/>
              <w:jc w:val="left"/>
              <w:rPr>
                <w:rFonts w:hint="eastAsia" w:ascii="仿宋_GB2312" w:hAnsi="仿宋_GB2312" w:cs="仿宋_GB2312" w:eastAsiaTheme="minorEastAsia"/>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（提供有效合同</w:t>
            </w:r>
            <w:r>
              <w:rPr>
                <w:rFonts w:hint="eastAsia" w:ascii="仿宋_GB2312" w:hAnsi="仿宋_GB2312" w:eastAsia="仿宋_GB2312" w:cs="仿宋_GB2312"/>
                <w:color w:val="auto"/>
                <w:sz w:val="24"/>
                <w:szCs w:val="24"/>
                <w:vertAlign w:val="baseline"/>
                <w:lang w:val="zh-CN" w:eastAsia="zh-CN"/>
              </w:rPr>
              <w:t>复印件并加盖厂商公章。</w:t>
            </w:r>
            <w:r>
              <w:rPr>
                <w:rFonts w:hint="eastAsia" w:ascii="仿宋_GB2312" w:hAnsi="仿宋_GB2312" w:eastAsia="仿宋_GB2312" w:cs="仿宋_GB2312"/>
                <w:color w:val="auto"/>
                <w:sz w:val="24"/>
                <w:szCs w:val="24"/>
                <w:vertAlign w:val="baseline"/>
                <w:lang w:val="en-US" w:eastAsia="zh-CN"/>
              </w:rPr>
              <w:t>）</w:t>
            </w:r>
          </w:p>
        </w:tc>
      </w:tr>
      <w:tr w14:paraId="0D30A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0214CC68">
            <w:pPr>
              <w:numPr>
                <w:ilvl w:val="1"/>
                <w:numId w:val="6"/>
              </w:numPr>
              <w:tabs>
                <w:tab w:val="left" w:pos="420"/>
                <w:tab w:val="clear" w:pos="0"/>
              </w:tabs>
              <w:ind w:left="567" w:leftChars="0" w:hanging="567" w:firstLineChars="0"/>
              <w:jc w:val="center"/>
              <w:outlineLvl w:val="9"/>
              <w:rPr>
                <w:rFonts w:hint="default"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0F383ED7">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售后服务（满分10分）</w:t>
            </w:r>
          </w:p>
        </w:tc>
        <w:tc>
          <w:tcPr>
            <w:tcW w:w="5793" w:type="dxa"/>
            <w:tcBorders>
              <w:tl2br w:val="nil"/>
              <w:tr2bl w:val="nil"/>
            </w:tcBorders>
            <w:vAlign w:val="center"/>
          </w:tcPr>
          <w:p w14:paraId="70614197">
            <w:pPr>
              <w:numPr>
                <w:ilvl w:val="0"/>
                <w:numId w:val="8"/>
              </w:numPr>
              <w:ind w:left="5" w:leftChars="0" w:hanging="5" w:firstLineChars="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根据投标人提供清楚的书面售后服务承诺，包括质量保证期、保修期、响应时间、维保服务，承诺内容清楚详细，对比评分2～0分。所投产品应含至少一年免费售后服务，在此基础上承诺每增加一年免费售后服务得1分，最高得2分。</w:t>
            </w:r>
          </w:p>
          <w:p w14:paraId="398568C1">
            <w:pPr>
              <w:numPr>
                <w:ilvl w:val="0"/>
                <w:numId w:val="8"/>
              </w:numPr>
              <w:ind w:left="5" w:leftChars="0" w:hanging="5"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承诺软件每年维保费用金额低于软件采购价的10%，每减少一个百分点得2分，最高得6分。</w:t>
            </w:r>
          </w:p>
          <w:p w14:paraId="4F7F27F6">
            <w:pPr>
              <w:numPr>
                <w:ilvl w:val="0"/>
                <w:numId w:val="0"/>
              </w:numPr>
              <w:ind w:left="0" w:leftChars="0" w:firstLine="420" w:firstLineChars="175"/>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（所提供资料需</w:t>
            </w:r>
            <w:r>
              <w:rPr>
                <w:rFonts w:hint="eastAsia" w:ascii="仿宋_GB2312" w:hAnsi="仿宋_GB2312" w:eastAsia="仿宋_GB2312" w:cs="仿宋_GB2312"/>
                <w:sz w:val="24"/>
                <w:szCs w:val="24"/>
                <w:lang w:val="zh-CN" w:eastAsia="zh-CN"/>
              </w:rPr>
              <w:t>加盖厂商公章。</w:t>
            </w:r>
            <w:r>
              <w:rPr>
                <w:rFonts w:hint="eastAsia" w:ascii="仿宋_GB2312" w:hAnsi="仿宋_GB2312" w:eastAsia="仿宋_GB2312" w:cs="仿宋_GB2312"/>
                <w:color w:val="auto"/>
                <w:sz w:val="24"/>
                <w:szCs w:val="24"/>
                <w:vertAlign w:val="baseline"/>
                <w:lang w:val="en-US" w:eastAsia="zh-CN"/>
              </w:rPr>
              <w:t>）</w:t>
            </w:r>
          </w:p>
        </w:tc>
      </w:tr>
      <w:tr w14:paraId="0983B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030211BD">
            <w:pPr>
              <w:numPr>
                <w:ilvl w:val="1"/>
                <w:numId w:val="6"/>
              </w:numPr>
              <w:tabs>
                <w:tab w:val="left" w:pos="420"/>
                <w:tab w:val="clear" w:pos="0"/>
              </w:tabs>
              <w:ind w:left="567" w:leftChars="0" w:hanging="567" w:firstLineChars="0"/>
              <w:jc w:val="center"/>
              <w:outlineLvl w:val="9"/>
              <w:rPr>
                <w:rFonts w:hint="default"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4A36369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trike w:val="0"/>
                <w:dstrike w:val="0"/>
                <w:sz w:val="24"/>
                <w:szCs w:val="24"/>
                <w:vertAlign w:val="baseline"/>
                <w:lang w:val="en-US" w:eastAsia="zh-CN"/>
              </w:rPr>
              <w:t>信息安全及国产化</w:t>
            </w:r>
            <w:r>
              <w:rPr>
                <w:rFonts w:hint="eastAsia" w:ascii="仿宋_GB2312" w:hAnsi="仿宋_GB2312" w:eastAsia="仿宋_GB2312" w:cs="仿宋_GB2312"/>
                <w:sz w:val="24"/>
                <w:szCs w:val="24"/>
                <w:vertAlign w:val="baseline"/>
                <w:lang w:val="en-US" w:eastAsia="zh-CN"/>
              </w:rPr>
              <w:t>（满分5分）</w:t>
            </w:r>
          </w:p>
        </w:tc>
        <w:tc>
          <w:tcPr>
            <w:tcW w:w="5793" w:type="dxa"/>
            <w:tcBorders>
              <w:tl2br w:val="nil"/>
              <w:tr2bl w:val="nil"/>
            </w:tcBorders>
            <w:vAlign w:val="center"/>
          </w:tcPr>
          <w:p w14:paraId="6D683406">
            <w:pPr>
              <w:numPr>
                <w:ilvl w:val="0"/>
                <w:numId w:val="9"/>
              </w:numPr>
              <w:ind w:left="5" w:leftChars="0" w:hanging="5" w:firstLineChars="0"/>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投标人承诺投标产品满足信息系统安全等级保护三级测评要求。提供承诺函得2分，不提供不得分。</w:t>
            </w:r>
          </w:p>
          <w:p w14:paraId="3276DFC1">
            <w:pPr>
              <w:numPr>
                <w:ilvl w:val="0"/>
                <w:numId w:val="9"/>
              </w:numPr>
              <w:ind w:left="5" w:leftChars="0" w:hanging="5" w:firstLineChars="0"/>
              <w:jc w:val="left"/>
              <w:rPr>
                <w:rFonts w:hint="eastAsia" w:ascii="仿宋_GB2312" w:hAnsi="仿宋_GB2312" w:eastAsia="仿宋_GB2312" w:cs="仿宋_GB2312"/>
                <w:color w:val="auto"/>
                <w:sz w:val="24"/>
                <w:szCs w:val="24"/>
                <w:vertAlign w:val="baseline"/>
                <w:lang w:val="zh-CN" w:eastAsia="zh-CN"/>
              </w:rPr>
            </w:pPr>
            <w:r>
              <w:rPr>
                <w:rFonts w:hint="eastAsia" w:ascii="仿宋_GB2312" w:hAnsi="仿宋_GB2312" w:eastAsia="仿宋_GB2312" w:cs="仿宋_GB2312"/>
                <w:color w:val="auto"/>
                <w:sz w:val="24"/>
                <w:szCs w:val="24"/>
                <w:vertAlign w:val="baseline"/>
                <w:lang w:val="en-US" w:eastAsia="zh-CN"/>
              </w:rPr>
              <w:t>投标人承诺投标产品</w:t>
            </w:r>
            <w:r>
              <w:rPr>
                <w:rFonts w:hint="eastAsia" w:ascii="仿宋_GB2312" w:hAnsi="仿宋_GB2312" w:eastAsia="仿宋_GB2312" w:cs="仿宋_GB2312"/>
                <w:color w:val="auto"/>
                <w:sz w:val="24"/>
                <w:szCs w:val="24"/>
                <w:vertAlign w:val="baseline"/>
                <w:lang w:val="zh-CN" w:eastAsia="zh-CN"/>
              </w:rPr>
              <w:t>全面适配信创框架。</w:t>
            </w:r>
            <w:r>
              <w:rPr>
                <w:rFonts w:hint="eastAsia" w:ascii="仿宋_GB2312" w:hAnsi="仿宋_GB2312" w:eastAsia="仿宋_GB2312" w:cs="仿宋_GB2312"/>
                <w:color w:val="auto"/>
                <w:sz w:val="24"/>
                <w:szCs w:val="24"/>
                <w:vertAlign w:val="baseline"/>
                <w:lang w:val="en-US" w:eastAsia="zh-CN"/>
              </w:rPr>
              <w:t>提供承诺函得3分，不提供不得分。</w:t>
            </w:r>
          </w:p>
          <w:p w14:paraId="4F16E2DE">
            <w:pPr>
              <w:numPr>
                <w:ilvl w:val="0"/>
                <w:numId w:val="0"/>
              </w:numPr>
              <w:tabs>
                <w:tab w:val="left" w:pos="0"/>
              </w:tabs>
              <w:ind w:left="0" w:leftChars="0" w:firstLine="420" w:firstLineChars="175"/>
              <w:jc w:val="left"/>
              <w:rPr>
                <w:rFonts w:hint="default" w:ascii="仿宋_GB2312" w:hAnsi="仿宋_GB2312" w:eastAsia="仿宋_GB2312" w:cs="仿宋_GB2312"/>
                <w:strike w:val="0"/>
                <w:dstrike w:val="0"/>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（所提供资料需</w:t>
            </w:r>
            <w:r>
              <w:rPr>
                <w:rFonts w:hint="eastAsia" w:ascii="仿宋_GB2312" w:hAnsi="仿宋_GB2312" w:eastAsia="仿宋_GB2312" w:cs="仿宋_GB2312"/>
                <w:sz w:val="24"/>
                <w:szCs w:val="24"/>
                <w:lang w:val="zh-CN" w:eastAsia="zh-CN"/>
              </w:rPr>
              <w:t>加盖厂商公章。</w:t>
            </w:r>
            <w:r>
              <w:rPr>
                <w:rFonts w:hint="eastAsia" w:ascii="仿宋_GB2312" w:hAnsi="仿宋_GB2312" w:eastAsia="仿宋_GB2312" w:cs="仿宋_GB2312"/>
                <w:color w:val="auto"/>
                <w:sz w:val="24"/>
                <w:szCs w:val="24"/>
                <w:vertAlign w:val="baseline"/>
                <w:lang w:val="en-US" w:eastAsia="zh-CN"/>
              </w:rPr>
              <w:t>）</w:t>
            </w:r>
          </w:p>
        </w:tc>
      </w:tr>
    </w:tbl>
    <w:p w14:paraId="42C2EFEB">
      <w:pPr>
        <w:pStyle w:val="2"/>
        <w:bidi w:val="0"/>
        <w:jc w:val="both"/>
        <w:rPr>
          <w:rFonts w:hint="eastAsia" w:cs="宋体"/>
          <w:b/>
          <w:bCs/>
          <w:sz w:val="30"/>
          <w:szCs w:val="30"/>
          <w:lang w:val="en-US" w:eastAsia="zh-CN"/>
        </w:rPr>
      </w:pPr>
    </w:p>
    <w:p w14:paraId="2632C813">
      <w:pPr>
        <w:pStyle w:val="2"/>
        <w:bidi w:val="0"/>
        <w:jc w:val="both"/>
        <w:rPr>
          <w:rFonts w:hint="default" w:cs="宋体"/>
          <w:b/>
          <w:bCs/>
          <w:sz w:val="30"/>
          <w:szCs w:val="30"/>
          <w:lang w:val="en-US" w:eastAsia="zh-CN"/>
        </w:rPr>
      </w:pPr>
      <w:r>
        <w:rPr>
          <w:rFonts w:hint="eastAsia" w:cs="宋体"/>
          <w:b/>
          <w:bCs/>
          <w:sz w:val="30"/>
          <w:szCs w:val="30"/>
          <w:lang w:val="en-US" w:eastAsia="zh-CN"/>
        </w:rPr>
        <w:t>附件3：参数要求（需提供技术参数偏离表）</w:t>
      </w:r>
      <w:bookmarkStart w:id="0" w:name="_GoBack"/>
      <w:bookmarkEnd w:id="0"/>
    </w:p>
    <w:p w14:paraId="7ECBFC50">
      <w:pPr>
        <w:pStyle w:val="7"/>
        <w:numPr>
          <w:ilvl w:val="0"/>
          <w:numId w:val="10"/>
        </w:numPr>
        <w:ind w:left="425" w:leftChars="0" w:hanging="425" w:firstLineChars="0"/>
        <w:jc w:val="left"/>
        <w:outlineLvl w:val="0"/>
        <w:rPr>
          <w:rFonts w:hint="eastAsia" w:ascii="仿宋_GB2312" w:hAnsi="仿宋_GB2312" w:eastAsia="仿宋_GB2312" w:cs="仿宋_GB2312"/>
          <w:b/>
          <w:bCs w:val="0"/>
          <w:i w:val="0"/>
          <w:iCs w:val="0"/>
          <w:sz w:val="32"/>
          <w:szCs w:val="32"/>
          <w:lang w:val="en-US" w:eastAsia="zh-CN"/>
        </w:rPr>
      </w:pPr>
      <w:r>
        <w:rPr>
          <w:rStyle w:val="18"/>
          <w:rFonts w:hint="eastAsia" w:ascii="仿宋_GB2312" w:hAnsi="仿宋_GB2312" w:eastAsia="仿宋_GB2312" w:cs="仿宋_GB2312"/>
          <w:b/>
          <w:bCs w:val="0"/>
          <w:i w:val="0"/>
          <w:iCs w:val="0"/>
          <w:sz w:val="32"/>
          <w:szCs w:val="32"/>
          <w:lang w:val="en-US" w:eastAsia="zh-CN"/>
        </w:rPr>
        <w:t>总体技术</w:t>
      </w:r>
      <w:r>
        <w:rPr>
          <w:rStyle w:val="18"/>
          <w:rFonts w:hint="eastAsia" w:ascii="仿宋_GB2312" w:hAnsi="仿宋_GB2312" w:eastAsia="仿宋_GB2312" w:cs="仿宋_GB2312"/>
          <w:b/>
          <w:bCs w:val="0"/>
          <w:i w:val="0"/>
          <w:iCs w:val="0"/>
          <w:sz w:val="32"/>
          <w:szCs w:val="32"/>
        </w:rPr>
        <w:t>要求</w:t>
      </w:r>
    </w:p>
    <w:p w14:paraId="1ACEDED8">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系统安全性</w:t>
      </w:r>
    </w:p>
    <w:p w14:paraId="1F1C9E5A">
      <w:pPr>
        <w:adjustRightInd w:val="0"/>
        <w:spacing w:line="360" w:lineRule="auto"/>
        <w:ind w:left="437" w:leftChars="20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系统能采取全方位防范措施，以保证数据安全。在各个环节上有相应的安全措施来保障，包括</w:t>
      </w:r>
      <w:r>
        <w:rPr>
          <w:rFonts w:hint="eastAsia" w:ascii="仿宋_GB2312" w:hAnsi="仿宋_GB2312" w:eastAsia="仿宋_GB2312" w:cs="仿宋_GB2312"/>
          <w:kern w:val="0"/>
          <w:sz w:val="28"/>
          <w:szCs w:val="28"/>
          <w:lang w:val="en-US" w:eastAsia="zh-CN"/>
        </w:rPr>
        <w:t>但</w:t>
      </w:r>
      <w:r>
        <w:rPr>
          <w:rFonts w:hint="eastAsia" w:ascii="仿宋_GB2312" w:hAnsi="仿宋_GB2312" w:eastAsia="仿宋_GB2312" w:cs="仿宋_GB2312"/>
          <w:kern w:val="0"/>
          <w:sz w:val="28"/>
          <w:szCs w:val="28"/>
        </w:rPr>
        <w:t>不限于：系统访问控制、数据通信加密、系统日志记录、数据备份与恢复等。 CA、加强密码策略安全等级。</w:t>
      </w:r>
    </w:p>
    <w:p w14:paraId="2591791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遵循医疗系统的行业数据规范HL7、CDA标准进行统一规划设计，建立统一的数据标准和技术标准。</w:t>
      </w:r>
      <w:r>
        <w:rPr>
          <w:rFonts w:hint="eastAsia" w:ascii="仿宋_GB2312" w:hAnsi="仿宋_GB2312" w:eastAsia="仿宋_GB2312" w:cs="仿宋_GB2312"/>
          <w:kern w:val="0"/>
          <w:sz w:val="28"/>
          <w:szCs w:val="28"/>
        </w:rPr>
        <w:t>支持本地和异地备份、磁盘阵列，有效防范自然灾害、意外事故和人为破坏对数据的影响。本系统与医院其他信息系统应有明确的系统边界，必须保证现有系统的数据安全。通过医院“</w:t>
      </w:r>
      <w:r>
        <w:rPr>
          <w:rFonts w:hint="eastAsia" w:ascii="仿宋_GB2312" w:hAnsi="仿宋_GB2312" w:eastAsia="仿宋_GB2312" w:cs="仿宋_GB2312"/>
          <w:kern w:val="0"/>
          <w:sz w:val="28"/>
          <w:szCs w:val="28"/>
          <w:lang w:val="en-US" w:eastAsia="zh-CN"/>
        </w:rPr>
        <w:t>集成</w:t>
      </w:r>
      <w:r>
        <w:rPr>
          <w:rFonts w:hint="eastAsia" w:ascii="仿宋_GB2312" w:hAnsi="仿宋_GB2312" w:eastAsia="仿宋_GB2312" w:cs="仿宋_GB2312"/>
          <w:kern w:val="0"/>
          <w:sz w:val="28"/>
          <w:szCs w:val="28"/>
        </w:rPr>
        <w:t>平台”实现与各业务系统的交互。</w:t>
      </w:r>
      <w:r>
        <w:rPr>
          <w:rFonts w:hint="eastAsia" w:ascii="仿宋_GB2312" w:hAnsi="仿宋_GB2312" w:eastAsia="仿宋_GB2312" w:cs="仿宋_GB2312"/>
          <w:color w:val="auto"/>
          <w:kern w:val="0"/>
          <w:sz w:val="28"/>
          <w:szCs w:val="28"/>
          <w:lang w:val="en-US" w:eastAsia="zh-CN"/>
        </w:rPr>
        <w:t>符合</w:t>
      </w:r>
      <w:r>
        <w:rPr>
          <w:rFonts w:hint="eastAsia" w:ascii="仿宋_GB2312" w:hAnsi="仿宋_GB2312" w:eastAsia="仿宋_GB2312" w:cs="仿宋_GB2312"/>
          <w:color w:val="auto"/>
          <w:kern w:val="0"/>
          <w:sz w:val="28"/>
          <w:szCs w:val="28"/>
        </w:rPr>
        <w:t>三级等保</w:t>
      </w:r>
      <w:r>
        <w:rPr>
          <w:rFonts w:hint="eastAsia" w:ascii="仿宋_GB2312" w:hAnsi="仿宋_GB2312" w:eastAsia="仿宋_GB2312" w:cs="仿宋_GB2312"/>
          <w:color w:val="auto"/>
          <w:kern w:val="0"/>
          <w:sz w:val="28"/>
          <w:szCs w:val="28"/>
          <w:lang w:val="en-US" w:eastAsia="zh-CN"/>
        </w:rPr>
        <w:t>相关安全要求。</w:t>
      </w:r>
    </w:p>
    <w:p w14:paraId="19712368">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技术先进性及可行性</w:t>
      </w:r>
    </w:p>
    <w:p w14:paraId="52AFDFC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软件</w:t>
      </w:r>
      <w:r>
        <w:rPr>
          <w:rFonts w:hint="eastAsia" w:ascii="仿宋_GB2312" w:hAnsi="仿宋_GB2312" w:eastAsia="仿宋_GB2312" w:cs="仿宋_GB2312"/>
          <w:kern w:val="0"/>
          <w:sz w:val="28"/>
          <w:szCs w:val="28"/>
          <w:lang w:val="en-US" w:eastAsia="zh-CN"/>
        </w:rPr>
        <w:t>应</w:t>
      </w:r>
      <w:r>
        <w:rPr>
          <w:rFonts w:hint="eastAsia" w:ascii="仿宋_GB2312" w:hAnsi="仿宋_GB2312" w:eastAsia="仿宋_GB2312" w:cs="仿宋_GB2312"/>
          <w:kern w:val="0"/>
          <w:sz w:val="28"/>
          <w:szCs w:val="28"/>
        </w:rPr>
        <w:t>采用 B/S 应用架构，把先进的管理思想和理念与实际工作相结合。本系统能支持市场主流的成熟软硬件产品，以保证系统安全、可靠地运行。</w:t>
      </w:r>
    </w:p>
    <w:p w14:paraId="4156E019">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可维护性、可升级性、可容错性</w:t>
      </w:r>
    </w:p>
    <w:p w14:paraId="282C972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统采用结构化、层次化设计结构，使系统易于维护和升级，系统采用模块化设计，并保证各版本之间具有良好的兼容性，不会因为系统中某些模块的改变而影响整个系统的正常运行。可在现有系统基础上扩充子系统，并实现各子之间的无缝集成，以满足医院未来发展的要求；提供有效的故障诊断及维护工具，具备数据错误记录和错误预警能力；具备较高的容错能力，在出错时具备自动恢复功能。</w:t>
      </w:r>
    </w:p>
    <w:p w14:paraId="1A1413D1">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国产化</w:t>
      </w:r>
    </w:p>
    <w:p w14:paraId="123823D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满足信创新形势下的平台建设和数据安全需要，产品全面适配信创框架，</w:t>
      </w:r>
      <w:r>
        <w:rPr>
          <w:rFonts w:hint="eastAsia" w:ascii="仿宋_GB2312" w:hAnsi="仿宋_GB2312" w:eastAsia="仿宋_GB2312" w:cs="仿宋_GB2312"/>
          <w:color w:val="auto"/>
          <w:kern w:val="0"/>
          <w:sz w:val="28"/>
          <w:szCs w:val="28"/>
          <w:lang w:val="en-US" w:eastAsia="zh-CN"/>
        </w:rPr>
        <w:t>能够</w:t>
      </w:r>
      <w:r>
        <w:rPr>
          <w:rFonts w:hint="eastAsia" w:ascii="仿宋_GB2312" w:hAnsi="仿宋_GB2312" w:eastAsia="仿宋_GB2312" w:cs="仿宋_GB2312"/>
          <w:color w:val="auto"/>
          <w:kern w:val="0"/>
          <w:sz w:val="28"/>
          <w:szCs w:val="28"/>
        </w:rPr>
        <w:t>支持国产芯片、服务器及整机、操作系统、数据库及中间件</w:t>
      </w:r>
      <w:r>
        <w:rPr>
          <w:rFonts w:hint="eastAsia" w:ascii="仿宋_GB2312" w:hAnsi="仿宋_GB2312" w:eastAsia="仿宋_GB2312" w:cs="仿宋_GB2312"/>
          <w:color w:val="auto"/>
          <w:kern w:val="0"/>
          <w:sz w:val="28"/>
          <w:szCs w:val="28"/>
          <w:lang w:val="en-US" w:eastAsia="zh-CN"/>
        </w:rPr>
        <w:t>等</w:t>
      </w:r>
      <w:r>
        <w:rPr>
          <w:rFonts w:hint="eastAsia" w:ascii="仿宋_GB2312" w:hAnsi="仿宋_GB2312" w:eastAsia="仿宋_GB2312" w:cs="仿宋_GB2312"/>
          <w:color w:val="auto"/>
          <w:kern w:val="0"/>
          <w:sz w:val="28"/>
          <w:szCs w:val="28"/>
        </w:rPr>
        <w:t>。</w:t>
      </w:r>
    </w:p>
    <w:p w14:paraId="61075046">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其他要求</w:t>
      </w:r>
    </w:p>
    <w:p w14:paraId="0BE48E0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投标人承诺项目建设期及售后服务期内需满足：（</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）维护期内确保系统免费升级到最新版本；</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）系统建设必须</w:t>
      </w:r>
      <w:r>
        <w:rPr>
          <w:rFonts w:hint="eastAsia" w:ascii="仿宋_GB2312" w:hAnsi="仿宋_GB2312" w:eastAsia="仿宋_GB2312" w:cs="仿宋_GB2312"/>
          <w:color w:val="auto"/>
          <w:kern w:val="0"/>
          <w:sz w:val="28"/>
          <w:szCs w:val="28"/>
          <w:lang w:val="en-US" w:eastAsia="zh-CN"/>
        </w:rPr>
        <w:t>满足</w:t>
      </w:r>
      <w:r>
        <w:rPr>
          <w:rFonts w:hint="eastAsia" w:ascii="仿宋_GB2312" w:hAnsi="仿宋_GB2312" w:eastAsia="仿宋_GB2312" w:cs="仿宋_GB2312"/>
          <w:color w:val="auto"/>
          <w:kern w:val="0"/>
          <w:sz w:val="28"/>
          <w:szCs w:val="28"/>
        </w:rPr>
        <w:t>《信息安全技术信息系统安全等级保护基本要求》三级</w:t>
      </w:r>
      <w:r>
        <w:rPr>
          <w:rFonts w:hint="eastAsia" w:ascii="仿宋_GB2312" w:hAnsi="仿宋_GB2312" w:eastAsia="仿宋_GB2312" w:cs="仿宋_GB2312"/>
          <w:color w:val="auto"/>
          <w:kern w:val="0"/>
          <w:sz w:val="28"/>
          <w:szCs w:val="28"/>
          <w:lang w:val="en-US" w:eastAsia="zh-CN"/>
        </w:rPr>
        <w:t>及</w:t>
      </w:r>
      <w:r>
        <w:rPr>
          <w:rFonts w:hint="eastAsia" w:ascii="仿宋_GB2312" w:hAnsi="仿宋_GB2312" w:eastAsia="仿宋_GB2312" w:cs="仿宋_GB2312"/>
          <w:color w:val="auto"/>
          <w:kern w:val="0"/>
          <w:sz w:val="28"/>
          <w:szCs w:val="28"/>
        </w:rPr>
        <w:t>以上要求</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并通过相关测评</w:t>
      </w:r>
      <w:r>
        <w:rPr>
          <w:rFonts w:hint="eastAsia" w:ascii="仿宋_GB2312" w:hAnsi="仿宋_GB2312" w:eastAsia="仿宋_GB2312" w:cs="仿宋_GB2312"/>
          <w:color w:val="auto"/>
          <w:kern w:val="0"/>
          <w:sz w:val="28"/>
          <w:szCs w:val="28"/>
        </w:rPr>
        <w:t>，必须满足《医院信息互联互通标准化成熟度测评方案》</w:t>
      </w:r>
      <w:r>
        <w:rPr>
          <w:rFonts w:hint="eastAsia" w:ascii="仿宋_GB2312" w:hAnsi="仿宋_GB2312" w:eastAsia="仿宋_GB2312" w:cs="仿宋_GB2312"/>
          <w:color w:val="auto"/>
          <w:kern w:val="0"/>
          <w:sz w:val="28"/>
          <w:szCs w:val="28"/>
          <w:lang w:val="en-US" w:eastAsia="zh-CN"/>
        </w:rPr>
        <w:t>四级甲</w:t>
      </w:r>
      <w:r>
        <w:rPr>
          <w:rFonts w:hint="eastAsia" w:ascii="仿宋_GB2312" w:hAnsi="仿宋_GB2312" w:eastAsia="仿宋_GB2312" w:cs="仿宋_GB2312"/>
          <w:color w:val="auto"/>
          <w:kern w:val="0"/>
          <w:sz w:val="28"/>
          <w:szCs w:val="28"/>
        </w:rPr>
        <w:t>等指标及《电子病历系统应用水平分级评价标准》</w:t>
      </w:r>
      <w:r>
        <w:rPr>
          <w:rFonts w:hint="eastAsia" w:ascii="仿宋_GB2312" w:hAnsi="仿宋_GB2312" w:eastAsia="仿宋_GB2312" w:cs="仿宋_GB2312"/>
          <w:color w:val="auto"/>
          <w:kern w:val="0"/>
          <w:sz w:val="28"/>
          <w:szCs w:val="28"/>
          <w:lang w:val="en-US" w:eastAsia="zh-CN"/>
        </w:rPr>
        <w:t>五</w:t>
      </w:r>
      <w:r>
        <w:rPr>
          <w:rFonts w:hint="eastAsia" w:ascii="仿宋_GB2312" w:hAnsi="仿宋_GB2312" w:eastAsia="仿宋_GB2312" w:cs="仿宋_GB2312"/>
          <w:color w:val="auto"/>
          <w:kern w:val="0"/>
          <w:sz w:val="28"/>
          <w:szCs w:val="28"/>
        </w:rPr>
        <w:t>级所有</w:t>
      </w:r>
      <w:r>
        <w:rPr>
          <w:rFonts w:hint="eastAsia" w:ascii="仿宋_GB2312" w:hAnsi="仿宋_GB2312" w:eastAsia="仿宋_GB2312" w:cs="仿宋_GB2312"/>
          <w:color w:val="auto"/>
          <w:kern w:val="0"/>
          <w:sz w:val="28"/>
          <w:szCs w:val="28"/>
          <w:lang w:val="en-US" w:eastAsia="zh-CN"/>
        </w:rPr>
        <w:t>相关的</w:t>
      </w:r>
      <w:r>
        <w:rPr>
          <w:rFonts w:hint="eastAsia" w:ascii="仿宋_GB2312" w:hAnsi="仿宋_GB2312" w:eastAsia="仿宋_GB2312" w:cs="仿宋_GB2312"/>
          <w:color w:val="auto"/>
          <w:kern w:val="0"/>
          <w:sz w:val="28"/>
          <w:szCs w:val="28"/>
        </w:rPr>
        <w:t>指标要求</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）系统服务器同时能够支持国产CPU、操作系统、数据库系统，并且项目报价包含系统支持国产化要求改造的费用；（</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）项目实施以及免费运维期内根据政策要求对系统进行调整优化和升级。</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支持</w:t>
      </w:r>
      <w:r>
        <w:rPr>
          <w:rFonts w:hint="eastAsia" w:ascii="仿宋_GB2312" w:hAnsi="仿宋_GB2312" w:eastAsia="仿宋_GB2312" w:cs="仿宋_GB2312"/>
          <w:kern w:val="0"/>
          <w:sz w:val="28"/>
          <w:szCs w:val="28"/>
        </w:rPr>
        <w:t>移动应用技术：结合</w:t>
      </w:r>
      <w:r>
        <w:rPr>
          <w:rFonts w:hint="eastAsia" w:ascii="仿宋_GB2312" w:hAnsi="仿宋_GB2312" w:eastAsia="仿宋_GB2312" w:cs="仿宋_GB2312"/>
          <w:kern w:val="0"/>
          <w:sz w:val="28"/>
          <w:szCs w:val="28"/>
          <w:lang w:val="en-US" w:eastAsia="zh-CN"/>
        </w:rPr>
        <w:t>企业微信</w:t>
      </w:r>
      <w:r>
        <w:rPr>
          <w:rFonts w:hint="eastAsia" w:ascii="仿宋_GB2312" w:hAnsi="仿宋_GB2312" w:eastAsia="仿宋_GB2312" w:cs="仿宋_GB2312"/>
          <w:kern w:val="0"/>
          <w:sz w:val="28"/>
          <w:szCs w:val="28"/>
        </w:rPr>
        <w:t>，根据用户需要提供</w:t>
      </w:r>
      <w:r>
        <w:rPr>
          <w:rFonts w:hint="eastAsia" w:ascii="仿宋_GB2312" w:hAnsi="仿宋_GB2312" w:eastAsia="仿宋_GB2312" w:cs="仿宋_GB2312"/>
          <w:kern w:val="0"/>
          <w:sz w:val="28"/>
          <w:szCs w:val="28"/>
          <w:lang w:val="en-US" w:eastAsia="zh-CN"/>
        </w:rPr>
        <w:t>相应功能</w:t>
      </w:r>
      <w:r>
        <w:rPr>
          <w:rFonts w:hint="eastAsia" w:ascii="仿宋_GB2312" w:hAnsi="仿宋_GB2312" w:eastAsia="仿宋_GB2312" w:cs="仿宋_GB2312"/>
          <w:kern w:val="0"/>
          <w:sz w:val="28"/>
          <w:szCs w:val="28"/>
        </w:rPr>
        <w:t>。</w:t>
      </w:r>
    </w:p>
    <w:p w14:paraId="20706F6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rPr>
      </w:pPr>
    </w:p>
    <w:p w14:paraId="7ACE7F6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lang w:val="en-US" w:eastAsia="zh-CN"/>
        </w:rPr>
      </w:pPr>
    </w:p>
    <w:p w14:paraId="50D20D39">
      <w:pPr>
        <w:pStyle w:val="7"/>
        <w:numPr>
          <w:ilvl w:val="0"/>
          <w:numId w:val="10"/>
        </w:numPr>
        <w:ind w:left="425" w:leftChars="0" w:hanging="425" w:firstLineChars="0"/>
        <w:jc w:val="left"/>
        <w:outlineLvl w:val="0"/>
        <w:rPr>
          <w:rStyle w:val="18"/>
          <w:rFonts w:hint="default" w:ascii="仿宋_GB2312" w:hAnsi="仿宋_GB2312" w:eastAsia="仿宋_GB2312" w:cs="仿宋_GB2312"/>
          <w:b/>
          <w:bCs w:val="0"/>
          <w:i w:val="0"/>
          <w:iCs w:val="0"/>
          <w:sz w:val="32"/>
          <w:szCs w:val="32"/>
          <w:lang w:val="en-US" w:eastAsia="zh-CN"/>
        </w:rPr>
      </w:pPr>
      <w:r>
        <w:rPr>
          <w:rStyle w:val="18"/>
          <w:rFonts w:hint="eastAsia" w:ascii="仿宋_GB2312" w:hAnsi="仿宋_GB2312" w:eastAsia="仿宋_GB2312" w:cs="仿宋_GB2312"/>
          <w:b/>
          <w:bCs w:val="0"/>
          <w:i w:val="0"/>
          <w:iCs w:val="0"/>
          <w:sz w:val="32"/>
          <w:szCs w:val="32"/>
          <w:lang w:val="en-US" w:eastAsia="zh-CN"/>
        </w:rPr>
        <w:t>软件功能需求模块。</w:t>
      </w:r>
    </w:p>
    <w:tbl>
      <w:tblPr>
        <w:tblStyle w:val="16"/>
        <w:tblW w:w="798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1520"/>
        <w:gridCol w:w="6468"/>
      </w:tblGrid>
      <w:tr w14:paraId="418133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tcBorders>
              <w:bottom w:val="single" w:color="auto" w:sz="4" w:space="0"/>
              <w:right w:val="single" w:color="000000" w:sz="4" w:space="0"/>
            </w:tcBorders>
            <w:shd w:val="clear" w:color="auto" w:fill="D7D7D7" w:themeFill="background1" w:themeFillShade="D8"/>
            <w:noWrap w:val="0"/>
            <w:vAlign w:val="center"/>
          </w:tcPr>
          <w:p w14:paraId="1DECC2EF">
            <w:pPr>
              <w:keepNext w:val="0"/>
              <w:keepLines w:val="0"/>
              <w:pageBreakBefore w:val="0"/>
              <w:widowControl w:val="0"/>
              <w:kinsoku/>
              <w:wordWrap/>
              <w:overflowPunct/>
              <w:topLinePunct w:val="0"/>
              <w:autoSpaceDE/>
              <w:autoSpaceDN/>
              <w:bidi w:val="0"/>
              <w:adjustRightInd w:val="0"/>
              <w:snapToGrid/>
              <w:spacing w:line="360" w:lineRule="auto"/>
              <w:ind w:left="0" w:leftChars="0" w:right="71" w:rightChars="34"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项目名称</w:t>
            </w:r>
          </w:p>
        </w:tc>
        <w:tc>
          <w:tcPr>
            <w:tcW w:w="6468" w:type="dxa"/>
            <w:tcBorders>
              <w:left w:val="single" w:color="000000" w:sz="4" w:space="0"/>
              <w:bottom w:val="single" w:color="auto" w:sz="4" w:space="0"/>
            </w:tcBorders>
            <w:shd w:val="clear" w:color="auto" w:fill="D7D7D7" w:themeFill="background1" w:themeFillShade="D8"/>
            <w:noWrap w:val="0"/>
            <w:vAlign w:val="center"/>
          </w:tcPr>
          <w:p w14:paraId="47651F2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模块名称</w:t>
            </w:r>
          </w:p>
        </w:tc>
      </w:tr>
      <w:tr w14:paraId="556A07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top w:val="single" w:color="auto" w:sz="4" w:space="0"/>
              <w:right w:val="single" w:color="000000" w:sz="4" w:space="0"/>
            </w:tcBorders>
            <w:noWrap w:val="0"/>
            <w:vAlign w:val="center"/>
          </w:tcPr>
          <w:p w14:paraId="77D8A75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号源管理</w:t>
            </w:r>
          </w:p>
        </w:tc>
        <w:tc>
          <w:tcPr>
            <w:tcW w:w="6468" w:type="dxa"/>
            <w:tcBorders>
              <w:top w:val="single" w:color="auto" w:sz="4" w:space="0"/>
              <w:left w:val="single" w:color="000000" w:sz="4" w:space="0"/>
              <w:bottom w:val="single" w:color="auto" w:sz="4" w:space="0"/>
            </w:tcBorders>
            <w:noWrap w:val="0"/>
            <w:vAlign w:val="center"/>
          </w:tcPr>
          <w:p w14:paraId="5CA542C3">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支持按不同的过滤方式，如日期、科室、设备、检查类别等查看排班号源信息。</w:t>
            </w:r>
          </w:p>
        </w:tc>
      </w:tr>
      <w:tr w14:paraId="76E6B1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3788B1D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10232E6B">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支持查看某个设备的号源详情：时段预约情况、时段可预约患者、时段可预约患者类型、时段可约项目。</w:t>
            </w:r>
          </w:p>
        </w:tc>
      </w:tr>
      <w:tr w14:paraId="7EE969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621CCD5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75B95F7C">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支持号源调整，可对排班号源的普通号源、预留号源进行加号、减号操作。</w:t>
            </w:r>
          </w:p>
        </w:tc>
      </w:tr>
      <w:tr w14:paraId="0172BF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04C0671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24DDAEA4">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支持按照时间段进行停检操作，对设备的停检时间段已约患者自动推送停检改约短信、微信通知。</w:t>
            </w:r>
          </w:p>
        </w:tc>
      </w:tr>
      <w:tr w14:paraId="5BBC88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76A4872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5CE96F0">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支持按时段进行检查项目、患者来源、患者类型、开单科室进行临时调整。</w:t>
            </w:r>
          </w:p>
        </w:tc>
      </w:tr>
      <w:tr w14:paraId="428CA9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34DC34F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323FE76E">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支持新增班次，对设备已排班日期进行新增检查班次。</w:t>
            </w:r>
          </w:p>
        </w:tc>
      </w:tr>
      <w:tr w14:paraId="3176F3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74D04BD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67C7B9EC">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支持按照设备进行批量排班设置，可按班次、时间段单独设置号源。</w:t>
            </w:r>
          </w:p>
        </w:tc>
      </w:tr>
      <w:tr w14:paraId="344F87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6828C20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7A87B97C">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设备排班设置支持按时间段设置可检查项目、患者来源、患者类型、开单科室等。</w:t>
            </w:r>
          </w:p>
        </w:tc>
      </w:tr>
      <w:tr w14:paraId="6E8243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3E04F1F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47428361">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设备排班可按时间段设定预留号源，预留号源可设定指定患者使用。</w:t>
            </w:r>
          </w:p>
        </w:tc>
      </w:tr>
      <w:tr w14:paraId="4865BC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3DB606B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7BC680F3">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▲支持导入本设备的其他排班设置，支持导入相同检查类别设备的排班设置一键导入，实现快速配置。</w:t>
            </w:r>
          </w:p>
        </w:tc>
      </w:tr>
      <w:tr w14:paraId="2DD965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6C10B00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72ECA93">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支持对未配置排班设备、排班星期进行明确标注提醒。</w:t>
            </w:r>
          </w:p>
        </w:tc>
      </w:tr>
      <w:tr w14:paraId="110E66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2B439FF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1EC9209">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支持常规排班，根据用户选择时间范围、设备的排班设置自动生成检查排班计划表。</w:t>
            </w:r>
          </w:p>
        </w:tc>
      </w:tr>
      <w:tr w14:paraId="5CC01A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0CA92573">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8BDF98B">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▲支持多个设备同时生成排班。</w:t>
            </w:r>
          </w:p>
        </w:tc>
      </w:tr>
      <w:tr w14:paraId="73FBDA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40341ED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6052F289">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支持已排班的设备过滤。</w:t>
            </w:r>
          </w:p>
        </w:tc>
      </w:tr>
      <w:tr w14:paraId="0759C7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54BF9A0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53312AD">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支持对单个或多个设备在未排班的日期进行临时排班。</w:t>
            </w:r>
          </w:p>
        </w:tc>
      </w:tr>
      <w:tr w14:paraId="20112D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0DA5CE1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401733ED">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支持节假日、特殊日期标注设置，支持根据节假日生成排班列表。</w:t>
            </w:r>
          </w:p>
        </w:tc>
      </w:tr>
      <w:tr w14:paraId="4F0E5C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top w:val="single" w:color="auto" w:sz="4" w:space="0"/>
              <w:right w:val="single" w:color="000000" w:sz="4" w:space="0"/>
            </w:tcBorders>
            <w:noWrap w:val="0"/>
            <w:vAlign w:val="center"/>
          </w:tcPr>
          <w:p w14:paraId="116B296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预约管理</w:t>
            </w:r>
          </w:p>
        </w:tc>
        <w:tc>
          <w:tcPr>
            <w:tcW w:w="6468" w:type="dxa"/>
            <w:tcBorders>
              <w:top w:val="single" w:color="auto" w:sz="4" w:space="0"/>
              <w:left w:val="single" w:color="000000" w:sz="4" w:space="0"/>
              <w:bottom w:val="single" w:color="auto" w:sz="4" w:space="0"/>
            </w:tcBorders>
            <w:noWrap w:val="0"/>
            <w:vAlign w:val="center"/>
          </w:tcPr>
          <w:p w14:paraId="38108D34">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支持医院预约中心，将所有患者所有检查项目在一个地方完成所有检查项目预约。</w:t>
            </w:r>
          </w:p>
        </w:tc>
      </w:tr>
      <w:tr w14:paraId="750E1C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4B00B0F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38AAB968">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支持诊间预约、自动预约。</w:t>
            </w:r>
          </w:p>
        </w:tc>
      </w:tr>
      <w:tr w14:paraId="29C269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3F494D9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6468" w:type="dxa"/>
            <w:tcBorders>
              <w:top w:val="single" w:color="auto" w:sz="4" w:space="0"/>
              <w:left w:val="single" w:color="000000" w:sz="4" w:space="0"/>
              <w:bottom w:val="single" w:color="auto" w:sz="4" w:space="0"/>
            </w:tcBorders>
            <w:noWrap w:val="0"/>
            <w:vAlign w:val="center"/>
          </w:tcPr>
          <w:p w14:paraId="15BFA3E3">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检查科室有单独的登记界面。</w:t>
            </w:r>
          </w:p>
        </w:tc>
      </w:tr>
      <w:tr w14:paraId="3647AC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1823037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6468" w:type="dxa"/>
            <w:tcBorders>
              <w:top w:val="single" w:color="auto" w:sz="4" w:space="0"/>
              <w:left w:val="single" w:color="000000" w:sz="4" w:space="0"/>
              <w:bottom w:val="single" w:color="auto" w:sz="4" w:space="0"/>
            </w:tcBorders>
            <w:noWrap w:val="0"/>
            <w:vAlign w:val="center"/>
          </w:tcPr>
          <w:p w14:paraId="5ABDB846">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可进行单个或多个项目的一键预约。</w:t>
            </w:r>
          </w:p>
        </w:tc>
      </w:tr>
      <w:tr w14:paraId="4BD8F7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077637C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6468" w:type="dxa"/>
            <w:tcBorders>
              <w:top w:val="single" w:color="auto" w:sz="4" w:space="0"/>
              <w:left w:val="single" w:color="000000" w:sz="4" w:space="0"/>
              <w:bottom w:val="single" w:color="auto" w:sz="4" w:space="0"/>
            </w:tcBorders>
            <w:noWrap w:val="0"/>
            <w:vAlign w:val="center"/>
          </w:tcPr>
          <w:p w14:paraId="1CDBB889">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支持分时段预约；</w:t>
            </w:r>
          </w:p>
        </w:tc>
      </w:tr>
      <w:tr w14:paraId="1E7817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E7ED0E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812649D">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支持根据检查项目消耗时长进行预约，支持检查项目消耗时长权重法进行预约。</w:t>
            </w:r>
          </w:p>
        </w:tc>
      </w:tr>
      <w:tr w14:paraId="4F50A6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0EA1A9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92C470F">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支持搜索所有待预约检查项目过滤。</w:t>
            </w:r>
          </w:p>
        </w:tc>
      </w:tr>
      <w:tr w14:paraId="5D18C6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72794C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639630C">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支持自定义配置待预约显示天数。</w:t>
            </w:r>
          </w:p>
        </w:tc>
      </w:tr>
      <w:tr w14:paraId="731C63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06480C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1E6D18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支持婴幼儿按天/月显示年龄信息。</w:t>
            </w:r>
          </w:p>
        </w:tc>
      </w:tr>
      <w:tr w14:paraId="5233F7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37667F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77C2800">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与HIS联动，预约登记实现缴费状态校验，对门诊患者的未缴费、已退费的检查项目的项目不能进行预约。已预约不能进行退费或实现自动取消预约并释放号源。</w:t>
            </w:r>
          </w:p>
        </w:tc>
      </w:tr>
      <w:tr w14:paraId="086DD0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425BE9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D2201AF">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▲支持跨院区预约，就诊院区的检查项目可预约到其他院区。并可根据预约院区的预约规则自动预约。</w:t>
            </w:r>
          </w:p>
        </w:tc>
      </w:tr>
      <w:tr w14:paraId="2FAADB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379D6A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5AA8582">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可根据规则自动推荐预约方案。</w:t>
            </w:r>
          </w:p>
        </w:tc>
      </w:tr>
      <w:tr w14:paraId="76210F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969B61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3DC614E">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支持根据最快检查、周末、工作日、同一天自动推荐预约方案。</w:t>
            </w:r>
          </w:p>
        </w:tc>
      </w:tr>
      <w:tr w14:paraId="24DB1E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6A3FA3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FD93AF3">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▲支持对推荐方案进行人工调整。</w:t>
            </w:r>
            <w:r>
              <w:rPr>
                <w:rFonts w:hint="eastAsia" w:ascii="宋体" w:hAnsi="宋体" w:eastAsia="宋体" w:cs="宋体"/>
                <w:b/>
                <w:bCs/>
                <w:sz w:val="21"/>
                <w:szCs w:val="21"/>
                <w:lang w:val="en-US" w:eastAsia="zh-CN"/>
              </w:rPr>
              <w:t>（提供该功能的截图并加盖厂商公章）</w:t>
            </w:r>
          </w:p>
        </w:tc>
      </w:tr>
      <w:tr w14:paraId="0377E1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05F916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80F446E">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支持对智能推荐的方案进行醒目标识。</w:t>
            </w:r>
          </w:p>
        </w:tc>
      </w:tr>
      <w:tr w14:paraId="530F0F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5E8B82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F8FB12B">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支持按照管理、医学要求检查顺序推荐预约方案，可对检查顺序调整进行限制。</w:t>
            </w:r>
          </w:p>
        </w:tc>
      </w:tr>
      <w:tr w14:paraId="7032C1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E853C6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C3F5D6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支持对军人、特需患者、急诊患者消耗零号源预约，绿色通道优先检查。</w:t>
            </w:r>
          </w:p>
        </w:tc>
      </w:tr>
      <w:tr w14:paraId="76880D7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C94FE9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BE59FA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支持查看检查项目的详细预约方案：预约时间、预约地点、预约设备、检查须知。</w:t>
            </w:r>
          </w:p>
        </w:tc>
      </w:tr>
      <w:tr w14:paraId="6030EB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599668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CB2B334">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支持预留号指定的患者来源、患者类型进行预约。</w:t>
            </w:r>
          </w:p>
        </w:tc>
      </w:tr>
      <w:tr w14:paraId="31C929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BA30C9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F342754">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▲支持手工释放临期预留号给普通患者使用。</w:t>
            </w:r>
          </w:p>
        </w:tc>
      </w:tr>
      <w:tr w14:paraId="6A5274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A17057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277306E">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可设置登记人员只能对本科室进行预约。</w:t>
            </w:r>
          </w:p>
        </w:tc>
      </w:tr>
      <w:tr w14:paraId="64735F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6526A0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D8A008B">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支持对预约患者进行患者来源标记。</w:t>
            </w:r>
          </w:p>
        </w:tc>
      </w:tr>
      <w:tr w14:paraId="1EE863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F26513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75CF75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▲支持加急检查项目标识，对加急项目可设定不预约直接进行登记检查。</w:t>
            </w:r>
            <w:r>
              <w:rPr>
                <w:rFonts w:hint="eastAsia" w:ascii="宋体" w:hAnsi="宋体" w:eastAsia="宋体" w:cs="宋体"/>
                <w:b/>
                <w:bCs/>
                <w:sz w:val="21"/>
                <w:szCs w:val="21"/>
                <w:lang w:val="en-US" w:eastAsia="zh-CN"/>
              </w:rPr>
              <w:t>（提供该功能的截图并加盖供应商公章）</w:t>
            </w:r>
            <w:r>
              <w:rPr>
                <w:rFonts w:hint="eastAsia" w:ascii="宋体" w:hAnsi="宋体" w:eastAsia="宋体" w:cs="宋体"/>
                <w:sz w:val="21"/>
                <w:szCs w:val="21"/>
                <w:lang w:val="en-US" w:eastAsia="zh-CN"/>
              </w:rPr>
              <w:t xml:space="preserve"> </w:t>
            </w:r>
          </w:p>
        </w:tc>
      </w:tr>
      <w:tr w14:paraId="412494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78F185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86DAB80">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可设置是否打印预约通知单，支持根据项目打印不同的预约通知单。</w:t>
            </w:r>
          </w:p>
        </w:tc>
      </w:tr>
      <w:tr w14:paraId="464A3A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255C08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AB46861">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支持通过微信、小程序、短信发送预约信息、检查须知、提醒信息等。</w:t>
            </w:r>
          </w:p>
        </w:tc>
      </w:tr>
      <w:tr w14:paraId="2F986C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2BAD7F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3E23F56">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可查询患者历史预约信息。</w:t>
            </w:r>
          </w:p>
        </w:tc>
      </w:tr>
      <w:tr w14:paraId="627199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924C0D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916F1E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▲支持预约登记时系统根据检查项目设定空腹、孕周时间限定、憋尿、药物过敏限制、传染病限制、病史限制等智能警告。</w:t>
            </w:r>
            <w:r>
              <w:rPr>
                <w:rFonts w:hint="eastAsia" w:ascii="宋体" w:hAnsi="宋体" w:eastAsia="宋体" w:cs="宋体"/>
                <w:b/>
                <w:bCs/>
                <w:sz w:val="21"/>
                <w:szCs w:val="21"/>
                <w:lang w:val="en-US" w:eastAsia="zh-CN"/>
              </w:rPr>
              <w:t>（提供该功能的截图并加盖厂商公章）</w:t>
            </w:r>
          </w:p>
        </w:tc>
      </w:tr>
      <w:tr w14:paraId="49D0C4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EFB5F4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7DA1A2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支持设定检查项目时间间隔时长，智能推荐符合时长间隔的预约方案，可人工忽略。</w:t>
            </w:r>
          </w:p>
        </w:tc>
      </w:tr>
      <w:tr w14:paraId="62F297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D2B620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E385E1C">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支持某些检查项目只能在指定时段、设备上进行检查的限制。</w:t>
            </w:r>
          </w:p>
        </w:tc>
      </w:tr>
      <w:tr w14:paraId="26ECF8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D96D4A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EB27C07">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支持将特需患者、军人预约的指定设备检查，某个设备某个时段只能预约某一类患者。</w:t>
            </w:r>
          </w:p>
        </w:tc>
      </w:tr>
      <w:tr w14:paraId="6D4504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1725A3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003B249">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支持不同疾病患者划分到不同诊室检查。</w:t>
            </w:r>
          </w:p>
        </w:tc>
      </w:tr>
      <w:tr w14:paraId="6D72CE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5E6139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06A2CE4">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支持将患者就近检查的原则进行预约。</w:t>
            </w:r>
          </w:p>
        </w:tc>
      </w:tr>
      <w:tr w14:paraId="11AFCE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6B67E7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6A50C29">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支持通过扫码实现姓名、身份证号、患者ID、门诊号、住院号等信息进行精确搜索患者的历史检查预约信息。</w:t>
            </w:r>
          </w:p>
        </w:tc>
      </w:tr>
      <w:tr w14:paraId="564279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50D707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D2AAAB8">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支持将查询条件下的预约信息导出excel，自定义导出行和列。</w:t>
            </w:r>
          </w:p>
        </w:tc>
      </w:tr>
      <w:tr w14:paraId="189D70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25C10A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BC890AD">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预约信息查询可按照患者姓名、预约状态、检查类别、预约时间、检查设备等进行排序。</w:t>
            </w:r>
          </w:p>
        </w:tc>
      </w:tr>
      <w:tr w14:paraId="12985D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40A491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C6B5F41">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支持查询结果自定义显示列，支持根据登录用户设定自己的显示内容、列顺序，设定自定义列顺序、内容后永久生效。</w:t>
            </w:r>
          </w:p>
        </w:tc>
      </w:tr>
      <w:tr w14:paraId="590F65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DD0D02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561D8F8">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支持已预约未检查的预约单进行改约操作。可打印凭条，并通过短信平台及微信公众号发送预约凭证和注意事项消息。</w:t>
            </w:r>
          </w:p>
        </w:tc>
      </w:tr>
      <w:tr w14:paraId="61CF45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6D43AC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E250979">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可对已签到的项目进行改约操作，并将最新的预约信息、检查注意事项打印凭条，及通过短信平台及微信公众号发送预约凭证和注意事项消息。</w:t>
            </w:r>
          </w:p>
        </w:tc>
      </w:tr>
      <w:tr w14:paraId="239E52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7EFA40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9C2BC1E">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支持对超时未检查的患者进行重约操作，可打印最新的预约信息，并通过短信平台及微信公众号发送预约凭证和注意事项消息。</w:t>
            </w:r>
          </w:p>
        </w:tc>
      </w:tr>
      <w:tr w14:paraId="715FFC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771D77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4ED47FA">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支持对已预约未检查的预约单取消预约，可选择取消原因，取消成功后可推送消息给患者。</w:t>
            </w:r>
          </w:p>
        </w:tc>
      </w:tr>
      <w:tr w14:paraId="0647FC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A1F33E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6DA9557">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支持对已预约未签到的预约项目进行签到操作，支持根据预约时间设定签到时间范围，不在时间范围不能签到。</w:t>
            </w:r>
          </w:p>
        </w:tc>
      </w:tr>
      <w:tr w14:paraId="45E213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31C12A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3546C1A">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支持对预约通知单凭条补打。</w:t>
            </w:r>
          </w:p>
        </w:tc>
      </w:tr>
      <w:tr w14:paraId="2DCF14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DD9848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3970590">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▲支持对完整预约检查周期进行闭环流程详情展示。</w:t>
            </w:r>
            <w:r>
              <w:rPr>
                <w:rFonts w:hint="eastAsia" w:ascii="宋体" w:hAnsi="宋体" w:eastAsia="宋体" w:cs="宋体"/>
                <w:b/>
                <w:bCs/>
                <w:sz w:val="21"/>
                <w:szCs w:val="21"/>
                <w:lang w:val="en-US" w:eastAsia="zh-CN"/>
              </w:rPr>
              <w:t>（提供该功能的截图并加盖厂商公章）</w:t>
            </w:r>
          </w:p>
        </w:tc>
      </w:tr>
      <w:tr w14:paraId="49E08C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7DA0A1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8F0C040">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可按设备等条件查看已预约、已签到、已检查、超时、号源使用、待检查等信息。</w:t>
            </w:r>
          </w:p>
        </w:tc>
      </w:tr>
      <w:tr w14:paraId="22938A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8AB0F7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7417082">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可按设备等条件查询申请、预约、签到、检查、报告、改约、超时、退约等信息。</w:t>
            </w:r>
          </w:p>
        </w:tc>
      </w:tr>
      <w:tr w14:paraId="7AF42E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976E8B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9CD4CBC">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支持展示某日某个设备的检查项目队列展示，可明确某个设备的号源使用情况、预约人数、预约项目数、检查项目、未检查项目。</w:t>
            </w:r>
          </w:p>
        </w:tc>
      </w:tr>
      <w:tr w14:paraId="3C2A1D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4D8BEB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E80B0C0">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支持按照预约日期、检查类别、检查设备、检查科室、检查项目、执行科室等进行已预约、已签到、已超时、已检查、已报告统计分析。</w:t>
            </w:r>
          </w:p>
        </w:tc>
      </w:tr>
      <w:tr w14:paraId="3976C7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4A1712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F06E6CF">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支持按照检查设备、检查类别、检查项目分组统计分析。</w:t>
            </w:r>
          </w:p>
        </w:tc>
      </w:tr>
      <w:tr w14:paraId="6DE92A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520092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62C70FA">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支持统计指标追溯到项目查看详情。</w:t>
            </w:r>
          </w:p>
        </w:tc>
      </w:tr>
      <w:tr w14:paraId="5E1590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6E751EE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61880A8">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支持统计分析数据导出Excel。</w:t>
            </w:r>
          </w:p>
        </w:tc>
      </w:tr>
      <w:tr w14:paraId="53B819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2ADFCF9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移动预约</w:t>
            </w:r>
          </w:p>
        </w:tc>
        <w:tc>
          <w:tcPr>
            <w:tcW w:w="0" w:type="auto"/>
            <w:tcBorders>
              <w:top w:val="single" w:color="auto" w:sz="4" w:space="0"/>
              <w:left w:val="single" w:color="auto" w:sz="4" w:space="0"/>
              <w:bottom w:val="single" w:color="auto" w:sz="4" w:space="0"/>
            </w:tcBorders>
            <w:vAlign w:val="center"/>
          </w:tcPr>
          <w:p w14:paraId="1DCE6170">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支持通过微信公众号、小程序进行检查预约。</w:t>
            </w:r>
          </w:p>
        </w:tc>
      </w:tr>
      <w:tr w14:paraId="00DFB0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BE003B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E58FBDC">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支持患者查询所有申请单信息，对未检查项目进行醒目提醒。</w:t>
            </w:r>
          </w:p>
        </w:tc>
      </w:tr>
      <w:tr w14:paraId="0023D8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524CAF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4425B14">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▲支持患者一键预约选定的待预约项目，并对患者预约项目自动推送对应的检查须知、注意事项、检查须知视频宣教等。</w:t>
            </w:r>
            <w:r>
              <w:rPr>
                <w:rFonts w:hint="eastAsia" w:ascii="宋体" w:hAnsi="宋体" w:eastAsia="宋体" w:cs="宋体"/>
                <w:b/>
                <w:bCs/>
                <w:sz w:val="21"/>
                <w:szCs w:val="21"/>
                <w:lang w:val="en-US" w:eastAsia="zh-CN"/>
              </w:rPr>
              <w:t>（提供该功能的截图并加盖厂商公章）</w:t>
            </w:r>
          </w:p>
        </w:tc>
      </w:tr>
      <w:tr w14:paraId="13BDDB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3A928E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0051435">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支持根据队列优先、时间段、检查条件限制、时间冲突限制、合并要求限制、检查顺序限制、排班管理要求限制，智能推荐最优预约方案给患者实现一键预约。</w:t>
            </w:r>
          </w:p>
        </w:tc>
      </w:tr>
      <w:tr w14:paraId="385334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3982D4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3BBA9F2">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支持患者按照最快完成检查、同一天完成所有检查的偏好进行智能推荐预约方案，患者可选择检查日期时间段。</w:t>
            </w:r>
          </w:p>
        </w:tc>
      </w:tr>
      <w:tr w14:paraId="740239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5314CC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BDA3672">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▲支持在线查看预约注意事项、检查注意事项、预约信息、改约信息、退约信息。</w:t>
            </w:r>
            <w:r>
              <w:rPr>
                <w:rFonts w:hint="eastAsia" w:ascii="宋体" w:hAnsi="宋体" w:eastAsia="宋体" w:cs="宋体"/>
                <w:b/>
                <w:bCs/>
                <w:sz w:val="21"/>
                <w:szCs w:val="21"/>
                <w:lang w:val="en-US" w:eastAsia="zh-CN"/>
              </w:rPr>
              <w:t>（提供该功能的截图并加盖厂商公章）</w:t>
            </w:r>
          </w:p>
        </w:tc>
      </w:tr>
      <w:tr w14:paraId="230568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E320EA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CF00B2F">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支持限制患者可预约时间范围内的号源，查看预约项目可约日期、时间段。</w:t>
            </w:r>
          </w:p>
        </w:tc>
      </w:tr>
      <w:tr w14:paraId="593A6C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9F679A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5C4207B">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支持预约成功的项目明确签到时间范围，科室可设置签到时间范围，不在签到时间范围内时不能签到。</w:t>
            </w:r>
          </w:p>
        </w:tc>
      </w:tr>
      <w:tr w14:paraId="590242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1B2E85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656A90A">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对患者在签到时间范围的检查项目进行醒目提醒。</w:t>
            </w:r>
          </w:p>
        </w:tc>
      </w:tr>
      <w:tr w14:paraId="6585E0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D00807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D56AA1E">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支持患者通过移动端定位签到，移动端支持批量签到。</w:t>
            </w:r>
          </w:p>
        </w:tc>
      </w:tr>
      <w:tr w14:paraId="676E47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3E94AF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C970F64">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支持移动端展示二维码到自助机进行扫码签到。</w:t>
            </w:r>
          </w:p>
        </w:tc>
      </w:tr>
      <w:tr w14:paraId="7081D8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660F6F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587FE85">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▲支持各个院区的签到范围设定，不在签到范围无法签到。</w:t>
            </w:r>
          </w:p>
        </w:tc>
      </w:tr>
      <w:tr w14:paraId="00ED1C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3AA8FB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45B8A56">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支持患者对已预约项目进行改约、取消预约操作，并可设置取消预约时间限制，超过时间不能退约，支持设定某些项目患者不能自助退约。</w:t>
            </w:r>
          </w:p>
        </w:tc>
      </w:tr>
      <w:tr w14:paraId="3B9EF1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D20292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4EDD991">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▲支持查看签到队列，当前队列进展。</w:t>
            </w:r>
            <w:r>
              <w:rPr>
                <w:rFonts w:hint="eastAsia" w:ascii="宋体" w:hAnsi="宋体" w:eastAsia="宋体" w:cs="宋体"/>
                <w:b/>
                <w:bCs/>
                <w:sz w:val="21"/>
                <w:szCs w:val="21"/>
                <w:lang w:val="en-US" w:eastAsia="zh-CN"/>
              </w:rPr>
              <w:t>（提供该功能的截图并加盖供应商公章）</w:t>
            </w:r>
          </w:p>
        </w:tc>
      </w:tr>
      <w:tr w14:paraId="1C224A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FCA745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C22A859">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移动端支持查看历史预约检查项目及预约检查闭环流程的详情信息。</w:t>
            </w:r>
          </w:p>
        </w:tc>
      </w:tr>
      <w:tr w14:paraId="79E4F1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27BFAE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7D4FA11">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支持预约、改约成功后通过短信平台、公众号、小程序发送相应的消息和注意事项等。</w:t>
            </w:r>
          </w:p>
        </w:tc>
      </w:tr>
      <w:tr w14:paraId="57B178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29B4E7A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C0B98EB">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▲支持移动端查看设备停检消息推送，告知相关患者修改检查时间或分流。</w:t>
            </w:r>
          </w:p>
        </w:tc>
      </w:tr>
      <w:tr w14:paraId="787589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0E60DF9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自助机预约</w:t>
            </w:r>
          </w:p>
        </w:tc>
        <w:tc>
          <w:tcPr>
            <w:tcW w:w="0" w:type="auto"/>
            <w:tcBorders>
              <w:top w:val="single" w:color="auto" w:sz="4" w:space="0"/>
              <w:left w:val="single" w:color="auto" w:sz="4" w:space="0"/>
              <w:bottom w:val="single" w:color="auto" w:sz="4" w:space="0"/>
            </w:tcBorders>
            <w:vAlign w:val="center"/>
          </w:tcPr>
          <w:p w14:paraId="03745A0A">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支持自助机实现检查预约，自适应屏幕尺寸。</w:t>
            </w:r>
          </w:p>
        </w:tc>
      </w:tr>
      <w:tr w14:paraId="1BC432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0FDF03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5978450">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▲支持根据队列优先、检查条件限制、时间冲突限制、合并要求限制、检查顺序限制、排班管理要求限制等，智能推荐最优的预约方案给患者实现一键预约。</w:t>
            </w:r>
            <w:r>
              <w:rPr>
                <w:rFonts w:hint="eastAsia" w:ascii="宋体" w:hAnsi="宋体" w:eastAsia="宋体" w:cs="宋体"/>
                <w:b/>
                <w:bCs/>
                <w:sz w:val="21"/>
                <w:szCs w:val="21"/>
                <w:lang w:val="en-US" w:eastAsia="zh-CN"/>
              </w:rPr>
              <w:t>（提供该功能的截图并加盖供应商公章）</w:t>
            </w:r>
            <w:r>
              <w:rPr>
                <w:rFonts w:hint="eastAsia" w:ascii="宋体" w:hAnsi="宋体" w:eastAsia="宋体" w:cs="宋体"/>
                <w:sz w:val="21"/>
                <w:szCs w:val="21"/>
                <w:lang w:val="en-US" w:eastAsia="zh-CN"/>
              </w:rPr>
              <w:t xml:space="preserve"> </w:t>
            </w:r>
          </w:p>
        </w:tc>
      </w:tr>
      <w:tr w14:paraId="169A72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522C66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A03CDCA">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支持查询患者进行待预约、已预约项目进行改约、退约，若只有待预约项目，则直接进入预约页面，若只存在已预约项目则直接进入改退约页面。</w:t>
            </w:r>
          </w:p>
        </w:tc>
      </w:tr>
      <w:tr w14:paraId="61E758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1F5206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2B585B6">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支持患者查看预约项目、可约日期、时间段进行选择检查日期时间预约。</w:t>
            </w:r>
          </w:p>
        </w:tc>
      </w:tr>
      <w:tr w14:paraId="2F9956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F0D07E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C918BCF">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支持患者一键预约选定的待预约项目。</w:t>
            </w:r>
          </w:p>
        </w:tc>
      </w:tr>
      <w:tr w14:paraId="3B5CA2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5570C2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D0284B6">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支持预约成功的项目打印预约单凭条。</w:t>
            </w:r>
          </w:p>
        </w:tc>
      </w:tr>
      <w:tr w14:paraId="57706E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5D1783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A11D9EE">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支持改约成功后打印新的预约信息凭条，自助机改约成功后，发送短信、公众号消息、小程序消息。</w:t>
            </w:r>
          </w:p>
        </w:tc>
      </w:tr>
      <w:tr w14:paraId="654881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0A840B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0280E19">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支持患者对已预约项目进行改约操作；支持设定某些项目不支持患者改约限定。</w:t>
            </w:r>
          </w:p>
        </w:tc>
      </w:tr>
      <w:tr w14:paraId="688787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7CFB3CF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2AE96C8">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支持患者对已预约项目进行退约。</w:t>
            </w:r>
          </w:p>
        </w:tc>
      </w:tr>
      <w:tr w14:paraId="14286A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3E60F53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临床端预约</w:t>
            </w:r>
          </w:p>
        </w:tc>
        <w:tc>
          <w:tcPr>
            <w:tcW w:w="0" w:type="auto"/>
            <w:tcBorders>
              <w:top w:val="single" w:color="auto" w:sz="4" w:space="0"/>
              <w:left w:val="single" w:color="auto" w:sz="4" w:space="0"/>
              <w:bottom w:val="single" w:color="auto" w:sz="4" w:space="0"/>
            </w:tcBorders>
            <w:vAlign w:val="center"/>
          </w:tcPr>
          <w:p w14:paraId="402C6B5E">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▲支持根据队列优先、检查条件限制、时间冲突限制、合并要求限制、检查顺序限制、排班管理要求限制等，智能推荐最优的预约方案实现一键预约。</w:t>
            </w:r>
          </w:p>
        </w:tc>
      </w:tr>
      <w:tr w14:paraId="7434B0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BAE17F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CD35C18">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▲支持查看预约须知，临床医护人员明确告知检查注意事项。</w:t>
            </w:r>
            <w:r>
              <w:rPr>
                <w:rFonts w:hint="eastAsia" w:ascii="宋体" w:hAnsi="宋体" w:eastAsia="宋体" w:cs="宋体"/>
                <w:b/>
                <w:bCs/>
                <w:sz w:val="21"/>
                <w:szCs w:val="21"/>
                <w:lang w:val="en-US" w:eastAsia="zh-CN"/>
              </w:rPr>
              <w:t>（提供该功能的截图并加盖供应商公章）</w:t>
            </w:r>
            <w:r>
              <w:rPr>
                <w:rFonts w:hint="eastAsia" w:ascii="宋体" w:hAnsi="宋体" w:eastAsia="宋体" w:cs="宋体"/>
                <w:sz w:val="21"/>
                <w:szCs w:val="21"/>
                <w:lang w:val="en-US" w:eastAsia="zh-CN"/>
              </w:rPr>
              <w:t xml:space="preserve"> </w:t>
            </w:r>
          </w:p>
        </w:tc>
      </w:tr>
      <w:tr w14:paraId="2CEF31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1357E3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7329D9F">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支持加急检查项目标识。可设定加急项目科不进行预约直接检查。</w:t>
            </w:r>
          </w:p>
        </w:tc>
      </w:tr>
      <w:tr w14:paraId="5986EC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3B6FEE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E84CA52">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支持跨院区预约检查。</w:t>
            </w:r>
          </w:p>
        </w:tc>
      </w:tr>
      <w:tr w14:paraId="6B3962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1DF017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3A24DE5">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支持调整推荐的预约方案。</w:t>
            </w:r>
          </w:p>
        </w:tc>
      </w:tr>
      <w:tr w14:paraId="006658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0DCFF6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8C4B7C5">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支持查看患者的历史预约记录。</w:t>
            </w:r>
          </w:p>
        </w:tc>
      </w:tr>
      <w:tr w14:paraId="3AA179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FE8F5E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8329A79">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支持查看检查项目的预约、改约、签到、检查须知、注意事项。</w:t>
            </w:r>
          </w:p>
        </w:tc>
      </w:tr>
      <w:tr w14:paraId="25914F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63A9D9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522AB5D">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支持改约，改约成功后自动打印预约通知单。</w:t>
            </w:r>
          </w:p>
        </w:tc>
      </w:tr>
      <w:tr w14:paraId="5BB343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EE9942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6B4E09A">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支持退约，退约后自动释放号源。</w:t>
            </w:r>
          </w:p>
        </w:tc>
      </w:tr>
      <w:tr w14:paraId="2263D4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DD741A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DE869D0">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支持预约成功后打印预约通知单，临床端打印模版可按照执行科室、检查项目、患者来源、患者类型设定不同打印模版。</w:t>
            </w:r>
          </w:p>
        </w:tc>
      </w:tr>
      <w:tr w14:paraId="645B98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67E885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EA16CCE">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支持临床端补打预约通知单。</w:t>
            </w:r>
          </w:p>
        </w:tc>
      </w:tr>
      <w:tr w14:paraId="4A96C2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DD33E6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29496DC">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支持自定义限制补打次数。</w:t>
            </w:r>
          </w:p>
        </w:tc>
      </w:tr>
      <w:tr w14:paraId="13EA66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5A5962F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50D8588">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支持制定打印机而非取电脑默认打印机打印，满足不同条件打印需求。</w:t>
            </w:r>
          </w:p>
        </w:tc>
      </w:tr>
      <w:tr w14:paraId="772F38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5BB0B17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规则管理</w:t>
            </w:r>
          </w:p>
        </w:tc>
        <w:tc>
          <w:tcPr>
            <w:tcW w:w="0" w:type="auto"/>
            <w:tcBorders>
              <w:top w:val="single" w:color="auto" w:sz="4" w:space="0"/>
              <w:left w:val="single" w:color="auto" w:sz="4" w:space="0"/>
              <w:bottom w:val="single" w:color="auto" w:sz="4" w:space="0"/>
            </w:tcBorders>
            <w:vAlign w:val="center"/>
          </w:tcPr>
          <w:p w14:paraId="463BC103">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支持根据患者来源、患者类型等设定优先级检查队列。</w:t>
            </w:r>
          </w:p>
        </w:tc>
      </w:tr>
      <w:tr w14:paraId="0350A7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5583FC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CE0A50C">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支持设定特殊患者是否消耗号源，设定不消耗号源的患者可以预约任意日期时间段的号源。</w:t>
            </w:r>
          </w:p>
        </w:tc>
      </w:tr>
      <w:tr w14:paraId="635F36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156BE9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EFC929E">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▲支持空腹检查条件项目维护，包括批量维护需空腹检查项目，空腹时长条件限制维护，不满足空腹时长的号源不可以预约。</w:t>
            </w:r>
            <w:r>
              <w:rPr>
                <w:rFonts w:hint="eastAsia" w:ascii="宋体" w:hAnsi="宋体" w:eastAsia="宋体" w:cs="宋体"/>
                <w:b/>
                <w:bCs/>
                <w:sz w:val="21"/>
                <w:szCs w:val="21"/>
                <w:lang w:val="en-US" w:eastAsia="zh-CN"/>
              </w:rPr>
              <w:t>（提供该功能的截图并加盖供应商公章）</w:t>
            </w:r>
          </w:p>
        </w:tc>
      </w:tr>
      <w:tr w14:paraId="485E05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E32D6A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5C2FE02">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支持智能询问患者当前是否达到空腹时长要求，达到空腹时长需求的智能推荐最近可约号源，未达到空腹时长需求的智能推荐满足时长要求的号源。</w:t>
            </w:r>
          </w:p>
        </w:tc>
      </w:tr>
      <w:tr w14:paraId="4CCB76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EC2EAF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69849CF">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▲支持憋尿条件项目维护，包括批量维护需憋尿查项目，憋尿所需时长条件限制维护，可根据设定时长自动推荐满足时长要求的号源</w:t>
            </w:r>
          </w:p>
        </w:tc>
      </w:tr>
      <w:tr w14:paraId="0C54C1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9D0FD9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D7AC7D0">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支持按照检查类别、检查项目设定各个检查项目间的时间间隔，自动根据时间间隔要求进行预约方案推荐、限制。</w:t>
            </w:r>
          </w:p>
        </w:tc>
      </w:tr>
      <w:tr w14:paraId="1AAD6E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ED0B6F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DEDFCB2">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▲支持单个、批量设定检查项目的检查孕周限制，支持根据孕产妇孕周智能推荐满足孕周限制要求的预约方案。</w:t>
            </w:r>
          </w:p>
        </w:tc>
      </w:tr>
      <w:tr w14:paraId="207DAD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EFC2EC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02EB6F0">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支持自定义设置某些检查项目需要检验指标阴性的限制，不满足检验指标阴性要求不能进行预约。</w:t>
            </w:r>
          </w:p>
        </w:tc>
      </w:tr>
      <w:tr w14:paraId="2CE351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5F3C01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1318B80">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支持自定义某些疾病患者不能检查某些项目的限制。</w:t>
            </w:r>
          </w:p>
        </w:tc>
      </w:tr>
      <w:tr w14:paraId="06DF63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43AEF6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67E7F34">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支持自定义设置某些检查项目在使用某些药品多少小时后不能进行检查的限制。</w:t>
            </w:r>
          </w:p>
        </w:tc>
      </w:tr>
      <w:tr w14:paraId="472BAE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05DE1D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CA6E58F">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▲系统支持根据设定的检查条件、时间冲突、时间间隔、合并规则、检查顺序、就近原则、优先队列、设备设定检查项目、设备设定的某类患者、设备设定的某开单科室规则智能推荐最佳的预约方案。</w:t>
            </w:r>
          </w:p>
        </w:tc>
      </w:tr>
      <w:tr w14:paraId="765F96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1F8D17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4B6E23A">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支持追加合并预约，将医生追加申请的检查项目合并到同检查类别已预约未检查项目一并检查。</w:t>
            </w:r>
          </w:p>
        </w:tc>
      </w:tr>
      <w:tr w14:paraId="312401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1DDC60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F555C85">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支持多个检查项目根据设定规则合并预约。</w:t>
            </w:r>
          </w:p>
        </w:tc>
      </w:tr>
      <w:tr w14:paraId="206C99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3E3331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AB6922D">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支持合并预约检查根据实际的改约、退约自动释放相应的号源。</w:t>
            </w:r>
          </w:p>
        </w:tc>
      </w:tr>
      <w:tr w14:paraId="012554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89D6FE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F2FC833">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支持根据不同的检查类别设定检查顺序优先级，同一患者同检查类别有多个项目按照设定的优先级进行顺序检查。</w:t>
            </w:r>
          </w:p>
        </w:tc>
      </w:tr>
      <w:tr w14:paraId="1CA2C4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2C3FD4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FB96176">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支持将同一患者的所有检查项目预约到有高优先级项目排班的设备上进行检查。项目优先级支持自定义单个、批量设置。</w:t>
            </w:r>
          </w:p>
        </w:tc>
      </w:tr>
      <w:tr w14:paraId="56D25C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66D3C4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92B7006">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▲支持对患者敏感信息进行脱敏处理，支持可以自定义脱敏信息及脱敏后显示样式。</w:t>
            </w:r>
          </w:p>
        </w:tc>
      </w:tr>
      <w:tr w14:paraId="03EE64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1A15E74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1CD16D6">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支持同检查类别的已预约项目、待预约改约到同地点同时间检查。</w:t>
            </w:r>
          </w:p>
        </w:tc>
      </w:tr>
      <w:tr w14:paraId="48E739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05BFDEF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基础配置</w:t>
            </w:r>
          </w:p>
        </w:tc>
        <w:tc>
          <w:tcPr>
            <w:tcW w:w="0" w:type="auto"/>
            <w:tcBorders>
              <w:top w:val="single" w:color="auto" w:sz="4" w:space="0"/>
              <w:left w:val="single" w:color="auto" w:sz="4" w:space="0"/>
              <w:bottom w:val="single" w:color="auto" w:sz="4" w:space="0"/>
            </w:tcBorders>
            <w:vAlign w:val="center"/>
          </w:tcPr>
          <w:p w14:paraId="4FDB6757">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支持多院区管理，检查科室的基本信息维护、查询。</w:t>
            </w:r>
          </w:p>
        </w:tc>
      </w:tr>
      <w:tr w14:paraId="105447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F8E38B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2AAEC5F">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可进行检查设备维护，停用，停检历史查询。</w:t>
            </w:r>
          </w:p>
        </w:tc>
      </w:tr>
      <w:tr w14:paraId="5BBAB8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8B7086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FD554C5">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可进行检查分类及项目的维护，包含但不限于检查项目分类名称、项目名称、项目代码、项目所耗号源数、所耗时间。</w:t>
            </w:r>
          </w:p>
        </w:tc>
      </w:tr>
      <w:tr w14:paraId="743511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005BA9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DD67A80">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可进行检查项目的预约、改约、退约、是否预约维护。</w:t>
            </w:r>
          </w:p>
        </w:tc>
      </w:tr>
      <w:tr w14:paraId="0733C4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E294EE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304CB28">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▲可进行检查项目的检查须知维护，检查须知可自定义排版格式、可上传图片、视频、链接。</w:t>
            </w:r>
            <w:r>
              <w:rPr>
                <w:rFonts w:hint="eastAsia" w:ascii="宋体" w:hAnsi="宋体" w:eastAsia="宋体" w:cs="宋体"/>
                <w:b/>
                <w:bCs/>
                <w:sz w:val="21"/>
                <w:szCs w:val="21"/>
                <w:lang w:val="en-US" w:eastAsia="zh-CN"/>
              </w:rPr>
              <w:t>（提供该功能的截图并加盖厂商公章）</w:t>
            </w:r>
          </w:p>
        </w:tc>
      </w:tr>
      <w:tr w14:paraId="0C4480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7F3248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BB2E604">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可设定某些项目不支持移动端、自助机端预约，不支持移动端、自助机端预约的项目提醒患者到相应的地点进行人工窗口预约。</w:t>
            </w:r>
          </w:p>
        </w:tc>
      </w:tr>
      <w:tr w14:paraId="66AE79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4DA4AD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D9E1C13">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可设定加急项目不支持移动端、自助机端预约，加急项目进行加急标识且告知患者到相应地点进行人工窗口预约。</w:t>
            </w:r>
          </w:p>
        </w:tc>
      </w:tr>
      <w:tr w14:paraId="379531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72E479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0035663">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可对检查项目进行分类管理，可根据检查部位、检查方法、管理要求自定义分类。</w:t>
            </w:r>
          </w:p>
        </w:tc>
      </w:tr>
      <w:tr w14:paraId="4C30CE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0FABBE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439C187">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可对检查规则、统计、排班根据检查分类进行设定。</w:t>
            </w:r>
          </w:p>
        </w:tc>
      </w:tr>
      <w:tr w14:paraId="3834B1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C7FA1D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240C3B4">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支持问卷试题管理，针对某些检查项目可以设定调查问卷，实现患者自助确认，提高预约登记效率。</w:t>
            </w:r>
          </w:p>
        </w:tc>
      </w:tr>
      <w:tr w14:paraId="69DDC5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658D7D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0BD39D7">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可按照通知渠道、检查项目执行科室、纸张、患者来源、患者类型、检查项目维护不同的通知模版。</w:t>
            </w:r>
          </w:p>
        </w:tc>
      </w:tr>
      <w:tr w14:paraId="5FD6FD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F35402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6B9FD3D">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▲可维护预约成功、改约、退约、待检查提醒、超时提醒等的手机短信、公众号、小程序等短信通知模版、打印模版。</w:t>
            </w:r>
            <w:r>
              <w:rPr>
                <w:rFonts w:hint="eastAsia" w:ascii="宋体" w:hAnsi="宋体" w:eastAsia="宋体" w:cs="宋体"/>
                <w:b/>
                <w:bCs/>
                <w:sz w:val="21"/>
                <w:szCs w:val="21"/>
                <w:lang w:val="en-US" w:eastAsia="zh-CN"/>
              </w:rPr>
              <w:t>（提供该功能的截图并加盖供应商公章）</w:t>
            </w:r>
          </w:p>
        </w:tc>
      </w:tr>
      <w:tr w14:paraId="5ECA73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A2EF18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70DDCD4">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可根据自助的打印纸张、不同项目、不同的执行科室设定打印模版。</w:t>
            </w:r>
          </w:p>
        </w:tc>
      </w:tr>
      <w:tr w14:paraId="1704E4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4CAC29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2CEE525">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可对待预约项目、预约成功通知、改约检查成功通知、退约检查成功通知、待检查提醒、停检通知、超时提醒等的通知渠道进行设置。</w:t>
            </w:r>
          </w:p>
        </w:tc>
      </w:tr>
      <w:tr w14:paraId="6A2F86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47A663C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A55669D">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支持根据预约方式、改约方式、退约方式设置不同的通知渠道。</w:t>
            </w:r>
          </w:p>
        </w:tc>
      </w:tr>
      <w:tr w14:paraId="6FA5F5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494EDFE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统计分析</w:t>
            </w:r>
          </w:p>
        </w:tc>
        <w:tc>
          <w:tcPr>
            <w:tcW w:w="0" w:type="auto"/>
            <w:tcBorders>
              <w:top w:val="single" w:color="auto" w:sz="4" w:space="0"/>
              <w:left w:val="single" w:color="auto" w:sz="4" w:space="0"/>
              <w:bottom w:val="single" w:color="auto" w:sz="4" w:space="0"/>
            </w:tcBorders>
            <w:vAlign w:val="center"/>
          </w:tcPr>
          <w:p w14:paraId="026A3E4C">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支持按照检查科室、按月、按年进行预约项目数、预约人次数、预约项目人次比、号源消耗情况进行统计，实现月度、年度趋势趋势分析。</w:t>
            </w:r>
          </w:p>
        </w:tc>
      </w:tr>
      <w:tr w14:paraId="699638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453DBC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7E79970">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支持根据检查类别进行正态分布统计分析，明确每个检查类别的检查工作量分配均衡情况。</w:t>
            </w:r>
          </w:p>
        </w:tc>
      </w:tr>
      <w:tr w14:paraId="621917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F8D25E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B588C42">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支持按照检查类别实现预约项目数、每台设备平均预约项目数、标准差的统计。</w:t>
            </w:r>
          </w:p>
        </w:tc>
      </w:tr>
      <w:tr w14:paraId="0EFCD7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D3AAEE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3D3A03A">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支持根据检查类别统计指标追溯到具体设备预约项目数、占同类设备预约项目数的比例、离差统计分析。</w:t>
            </w:r>
          </w:p>
        </w:tc>
      </w:tr>
      <w:tr w14:paraId="133D0A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CC5AF0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798E54A">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支持对自助机、公众号/小程序、预约中心预约、检查室预约、临床预约、自动预约方式按检查类别、按月、按年进行预约项目数、占比的分析。</w:t>
            </w:r>
          </w:p>
        </w:tc>
      </w:tr>
      <w:tr w14:paraId="29494C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21192F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4C74A06">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支持月度、年度的自动预约、患者自助预约、医护预约占比的趋势分析。</w:t>
            </w:r>
          </w:p>
        </w:tc>
      </w:tr>
      <w:tr w14:paraId="3D8619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7F8FE0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2CA63D5">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支持对预约概览、设备预约情况、预约方式分析指标进行导出Excel。</w:t>
            </w:r>
          </w:p>
        </w:tc>
      </w:tr>
      <w:tr w14:paraId="767597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A8F19F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AFBD998">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支持按科室进行履约率、退约率、改约率、违约率的统计分析，支持进行履约情况进行排名。</w:t>
            </w:r>
          </w:p>
        </w:tc>
      </w:tr>
      <w:tr w14:paraId="7499F1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6AB8AB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2DAE8C6">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支持按月、按年进行履约率、退约率、改约率违约率的趋势分析，同比、环比分析。</w:t>
            </w:r>
          </w:p>
        </w:tc>
      </w:tr>
      <w:tr w14:paraId="1A45A1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C1E794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26056FC">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支持按照检查类别进行履约情况分析。</w:t>
            </w:r>
          </w:p>
        </w:tc>
      </w:tr>
      <w:tr w14:paraId="59C435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BD8B39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3EC2ED6">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支持某一类检查项目追溯至具体设备的履约情况分析。</w:t>
            </w:r>
          </w:p>
        </w:tc>
      </w:tr>
      <w:tr w14:paraId="668CF2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1E53D1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D7C6E09">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支持对履约率最低的N个项目进行分析，分析履约率低的原因进行各个击破。</w:t>
            </w:r>
          </w:p>
        </w:tc>
      </w:tr>
      <w:tr w14:paraId="2F4B98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C2B0CF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EF8402F">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支持对履约概览、设备履约情况、无效预约项目TOP N的统计分析指标进行导出Excel。</w:t>
            </w:r>
          </w:p>
        </w:tc>
      </w:tr>
      <w:tr w14:paraId="418771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9133E5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B45EC14">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支持按月、按年度进行预约后平均待时长的趋势分析。</w:t>
            </w:r>
          </w:p>
        </w:tc>
      </w:tr>
      <w:tr w14:paraId="073205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2B1A19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2572286">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预约后平均待时间汇总。</w:t>
            </w:r>
          </w:p>
        </w:tc>
      </w:tr>
      <w:tr w14:paraId="37446A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4E4F2C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375BB97">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支持按照科室、检查类别实现平均待时长的统计分析。</w:t>
            </w:r>
          </w:p>
        </w:tc>
      </w:tr>
      <w:tr w14:paraId="4A7098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E98A08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312040A">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支持按科室、检查类别进行服务效率排名。</w:t>
            </w:r>
          </w:p>
        </w:tc>
      </w:tr>
      <w:tr w14:paraId="216DCE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D85EC9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345E660">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支持对平均待时长最长的N个检查项目进行统计分析，分析每个项目服务效率低的真正原因，优化排班、服务方式。</w:t>
            </w:r>
          </w:p>
        </w:tc>
      </w:tr>
      <w:tr w14:paraId="47E5B8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F10E2E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BF8CA54">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支持对预约后平均待时间趋势、预约后平均待时间汇总、预约后平均待时间TOP N的统计分析指标进行导出。</w:t>
            </w:r>
          </w:p>
        </w:tc>
      </w:tr>
      <w:tr w14:paraId="15344C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7400048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D1BA6F0">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cs="宋体"/>
                <w:sz w:val="22"/>
                <w:szCs w:val="24"/>
              </w:rPr>
              <w:t>▲</w:t>
            </w:r>
            <w:r>
              <w:rPr>
                <w:rFonts w:hint="eastAsia" w:ascii="宋体" w:hAnsi="宋体" w:eastAsia="宋体" w:cs="宋体"/>
                <w:sz w:val="21"/>
                <w:szCs w:val="21"/>
                <w:lang w:val="en-US" w:eastAsia="zh-CN"/>
              </w:rPr>
              <w:t>支持自定义报表设计及导出，可按用户需求随时新增统计报表；</w:t>
            </w:r>
            <w:r>
              <w:rPr>
                <w:rFonts w:hint="eastAsia" w:ascii="宋体" w:hAnsi="宋体" w:eastAsia="宋体" w:cs="宋体"/>
                <w:b/>
                <w:bCs/>
                <w:sz w:val="21"/>
                <w:szCs w:val="21"/>
                <w:lang w:val="en-US" w:eastAsia="zh-CN"/>
              </w:rPr>
              <w:t>（提供该功能的截图并加盖供应商公章）</w:t>
            </w:r>
            <w:r>
              <w:rPr>
                <w:rFonts w:hint="eastAsia" w:ascii="宋体" w:hAnsi="宋体" w:eastAsia="宋体" w:cs="宋体"/>
                <w:sz w:val="21"/>
                <w:szCs w:val="21"/>
                <w:lang w:val="en-US" w:eastAsia="zh-CN"/>
              </w:rPr>
              <w:t xml:space="preserve"> </w:t>
            </w:r>
          </w:p>
        </w:tc>
      </w:tr>
      <w:tr w14:paraId="48BA9D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7085994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患者管理</w:t>
            </w:r>
          </w:p>
        </w:tc>
        <w:tc>
          <w:tcPr>
            <w:tcW w:w="0" w:type="auto"/>
            <w:tcBorders>
              <w:top w:val="single" w:color="auto" w:sz="4" w:space="0"/>
              <w:left w:val="single" w:color="auto" w:sz="4" w:space="0"/>
              <w:bottom w:val="single" w:color="auto" w:sz="4" w:space="0"/>
            </w:tcBorders>
            <w:vAlign w:val="center"/>
          </w:tcPr>
          <w:p w14:paraId="0E3DB090">
            <w:pPr>
              <w:numPr>
                <w:ilvl w:val="0"/>
                <w:numId w:val="20"/>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支持对患者进行信用分管理，当患者违约后实现信用分扣费机制，达到信用分最低限制实现拉黑移动端、自助机预约功能。</w:t>
            </w:r>
          </w:p>
        </w:tc>
      </w:tr>
      <w:tr w14:paraId="32CF65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3254C4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A3A2E69">
            <w:pPr>
              <w:numPr>
                <w:ilvl w:val="0"/>
                <w:numId w:val="20"/>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支持设定黑名单患者拉黑时长。</w:t>
            </w:r>
          </w:p>
        </w:tc>
      </w:tr>
      <w:tr w14:paraId="5BA8D6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49EDB72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A34550A">
            <w:pPr>
              <w:numPr>
                <w:ilvl w:val="0"/>
                <w:numId w:val="20"/>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支持手动解除黑名单患者，支持根据拉黑时间自动解除黑名单患者。</w:t>
            </w:r>
          </w:p>
        </w:tc>
      </w:tr>
      <w:tr w14:paraId="5BE56A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19AC9C6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系统管理</w:t>
            </w:r>
          </w:p>
        </w:tc>
        <w:tc>
          <w:tcPr>
            <w:tcW w:w="0" w:type="auto"/>
            <w:tcBorders>
              <w:top w:val="single" w:color="auto" w:sz="4" w:space="0"/>
              <w:left w:val="single" w:color="auto" w:sz="4" w:space="0"/>
              <w:bottom w:val="single" w:color="auto" w:sz="4" w:space="0"/>
            </w:tcBorders>
            <w:vAlign w:val="center"/>
          </w:tcPr>
          <w:p w14:paraId="281EB107">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▲可对系统角色及用户权限进行管理，支持密码复杂度控制。</w:t>
            </w:r>
          </w:p>
        </w:tc>
      </w:tr>
      <w:tr w14:paraId="3C94EF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0114A3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04D22FD">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▲可查看系统日志、操作日志，系统日志,并支持下载，操作日志包含操作用户、操作时间、操作路径、操作内容，可追溯操作记录。</w:t>
            </w:r>
          </w:p>
        </w:tc>
      </w:tr>
      <w:tr w14:paraId="74AEE8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C37CD9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18E66AA">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支持开启/关闭移动端、自助机端、临床端预约。</w:t>
            </w:r>
          </w:p>
        </w:tc>
      </w:tr>
      <w:tr w14:paraId="3D3C3E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744904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B5EAF8E">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支持移动端、自助机端、临床端改约时间限制设定，超过限定的改约时间患者不能在移动端改约，提示患者需要到窗口进行改约。</w:t>
            </w:r>
          </w:p>
        </w:tc>
      </w:tr>
      <w:tr w14:paraId="5EEBE9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F385BA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FAD10DF">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支持设定某些项目不支持患者通过移动端、自助机端、临床端改约限定。</w:t>
            </w:r>
          </w:p>
        </w:tc>
      </w:tr>
      <w:tr w14:paraId="0CA691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58D1BF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D463348">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支持开启/关闭移动端、自助机端、临床端改约、退约，全局控制移动端是否能启用退约、改约操作。</w:t>
            </w:r>
          </w:p>
        </w:tc>
      </w:tr>
      <w:tr w14:paraId="1B7E57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4CC0C8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67CC450">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支持患者改约次数设定，超过改约次数患者不能通过移移动端、自助机端、临床端改约，需要到窗口进行改约。</w:t>
            </w:r>
          </w:p>
        </w:tc>
      </w:tr>
      <w:tr w14:paraId="45082E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DF8034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972A7C1">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支持限制患者在移动端、自助机端可预约时间范围内的号源</w:t>
            </w:r>
          </w:p>
        </w:tc>
      </w:tr>
      <w:tr w14:paraId="03E505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0FD7F76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6E20F67">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支持设定加急项目不支持自助机预约，加急项目进行加急标识且告知患者到相应地点进行人工窗口预约。</w:t>
            </w:r>
          </w:p>
        </w:tc>
      </w:tr>
      <w:tr w14:paraId="07A0F4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6C49710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第三方标准接口对接</w:t>
            </w:r>
          </w:p>
        </w:tc>
        <w:tc>
          <w:tcPr>
            <w:tcW w:w="0" w:type="auto"/>
            <w:tcBorders>
              <w:top w:val="single" w:color="auto" w:sz="4" w:space="0"/>
              <w:left w:val="single" w:color="auto" w:sz="4" w:space="0"/>
              <w:bottom w:val="single" w:color="auto" w:sz="4" w:space="0"/>
            </w:tcBorders>
            <w:vAlign w:val="center"/>
          </w:tcPr>
          <w:p w14:paraId="3E6F971F">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▲能够通过医院集成平台与</w:t>
            </w:r>
            <w:r>
              <w:rPr>
                <w:rFonts w:hint="eastAsia"/>
                <w:lang w:val="en-US" w:eastAsia="zh-CN"/>
              </w:rPr>
              <w:t>LIS、PACS、心电、胃镜、公众号、自助机等医院的相关系统接口。</w:t>
            </w:r>
          </w:p>
        </w:tc>
      </w:tr>
      <w:tr w14:paraId="43418A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C9747B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77CABCB">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检查项目字典信息同步接口；医院科室信息同步接口；新增检查申请接口，取消检查申请接口；检查申请缴费状态获取。</w:t>
            </w:r>
          </w:p>
        </w:tc>
      </w:tr>
      <w:tr w14:paraId="61F1CF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AFCDAB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EAE64BE">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实现提供标准URL页面调用接口，与HIS医生工作站\护士工作站进行对接，调用预约页面进行检查预约。</w:t>
            </w:r>
          </w:p>
        </w:tc>
      </w:tr>
      <w:tr w14:paraId="41D1EF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D3D99B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DA89428">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支持预约信息推送排队叫号系统，用于签到排队处理。</w:t>
            </w:r>
          </w:p>
        </w:tc>
      </w:tr>
      <w:tr w14:paraId="507A99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0E3970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F3ABB52">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支持与医院微信公众号、小程序移动终端的对接。</w:t>
            </w:r>
          </w:p>
        </w:tc>
      </w:tr>
      <w:tr w14:paraId="139F81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58FB22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D6C4C41">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与自助机无缝对接实现检查预约功能，预约完成后打印预约凭条。</w:t>
            </w:r>
          </w:p>
        </w:tc>
      </w:tr>
      <w:tr w14:paraId="684FE7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CD7D89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9322DDC">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检查预约成功、检查改约消息、取消预约消息通过短信、公众号平台消息推送给患者，为患者检查提供详细的信息指引。</w:t>
            </w:r>
          </w:p>
        </w:tc>
      </w:tr>
      <w:tr w14:paraId="2C4C8D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2FE26AC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621B1C3">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提供第三方系统调用检查预约系统接口，通过患者信息、申请单信息查询预约详情信息。</w:t>
            </w:r>
          </w:p>
        </w:tc>
      </w:tr>
      <w:tr w14:paraId="613C38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top w:val="single" w:color="auto" w:sz="4" w:space="0"/>
              <w:right w:val="single" w:color="auto" w:sz="4" w:space="0"/>
            </w:tcBorders>
            <w:vAlign w:val="center"/>
          </w:tcPr>
          <w:p w14:paraId="0F2D0E6A">
            <w:pPr>
              <w:numPr>
                <w:ilvl w:val="0"/>
                <w:numId w:val="0"/>
              </w:numPr>
              <w:spacing w:line="360" w:lineRule="exact"/>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自助签到软件</w:t>
            </w:r>
          </w:p>
        </w:tc>
        <w:tc>
          <w:tcPr>
            <w:tcW w:w="0" w:type="auto"/>
            <w:tcBorders>
              <w:top w:val="single" w:color="auto" w:sz="4" w:space="0"/>
              <w:left w:val="single" w:color="auto" w:sz="4" w:space="0"/>
              <w:bottom w:val="single" w:color="auto" w:sz="4" w:space="0"/>
            </w:tcBorders>
            <w:vAlign w:val="center"/>
          </w:tcPr>
          <w:p w14:paraId="79578985">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患者可通过自助签到设备进行签到操作。</w:t>
            </w:r>
          </w:p>
        </w:tc>
      </w:tr>
      <w:tr w14:paraId="136CCE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auto" w:sz="4" w:space="0"/>
            </w:tcBorders>
          </w:tcPr>
          <w:p w14:paraId="2C9A4A0B">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p>
        </w:tc>
        <w:tc>
          <w:tcPr>
            <w:tcW w:w="0" w:type="auto"/>
            <w:tcBorders>
              <w:top w:val="single" w:color="auto" w:sz="4" w:space="0"/>
              <w:left w:val="single" w:color="auto" w:sz="4" w:space="0"/>
              <w:bottom w:val="single" w:color="auto" w:sz="4" w:space="0"/>
            </w:tcBorders>
            <w:vAlign w:val="center"/>
          </w:tcPr>
          <w:p w14:paraId="046D5945">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▲支持多种签到方式，如身份证、电子社保凭证、导诊单、二维码、手动输入等方式签到。</w:t>
            </w:r>
          </w:p>
        </w:tc>
      </w:tr>
      <w:tr w14:paraId="290F76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auto" w:sz="4" w:space="0"/>
            </w:tcBorders>
          </w:tcPr>
          <w:p w14:paraId="63F03E40">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p>
        </w:tc>
        <w:tc>
          <w:tcPr>
            <w:tcW w:w="0" w:type="auto"/>
            <w:tcBorders>
              <w:top w:val="single" w:color="auto" w:sz="4" w:space="0"/>
              <w:left w:val="single" w:color="auto" w:sz="4" w:space="0"/>
              <w:bottom w:val="single" w:color="auto" w:sz="4" w:space="0"/>
            </w:tcBorders>
            <w:vAlign w:val="center"/>
          </w:tcPr>
          <w:p w14:paraId="6540195E">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签到完成后，系统自动将患者信息加入排队序列，并显示排队号码及当前排队位置。</w:t>
            </w:r>
          </w:p>
        </w:tc>
      </w:tr>
      <w:tr w14:paraId="237DEA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auto" w:sz="4" w:space="0"/>
            </w:tcBorders>
          </w:tcPr>
          <w:p w14:paraId="3C1D5AE0">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p>
        </w:tc>
        <w:tc>
          <w:tcPr>
            <w:tcW w:w="0" w:type="auto"/>
            <w:tcBorders>
              <w:top w:val="single" w:color="auto" w:sz="4" w:space="0"/>
              <w:left w:val="single" w:color="auto" w:sz="4" w:space="0"/>
              <w:bottom w:val="single" w:color="auto" w:sz="4" w:space="0"/>
            </w:tcBorders>
            <w:vAlign w:val="center"/>
          </w:tcPr>
          <w:p w14:paraId="6C3BC3A3">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自助签到设备可打印排队小票，显示患者的排队号码、候诊位置等信息。</w:t>
            </w:r>
          </w:p>
        </w:tc>
      </w:tr>
      <w:tr w14:paraId="6EAE29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auto" w:sz="4" w:space="0"/>
            </w:tcBorders>
          </w:tcPr>
          <w:p w14:paraId="530CEBF4">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p>
        </w:tc>
        <w:tc>
          <w:tcPr>
            <w:tcW w:w="0" w:type="auto"/>
            <w:tcBorders>
              <w:top w:val="single" w:color="auto" w:sz="4" w:space="0"/>
              <w:left w:val="single" w:color="auto" w:sz="4" w:space="0"/>
            </w:tcBorders>
            <w:vAlign w:val="center"/>
          </w:tcPr>
          <w:p w14:paraId="14A88F61">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支持患者通过多种查询方式查询签到状态。</w:t>
            </w:r>
          </w:p>
        </w:tc>
      </w:tr>
    </w:tbl>
    <w:p w14:paraId="5805D13C">
      <w:pPr>
        <w:pStyle w:val="7"/>
        <w:numPr>
          <w:ilvl w:val="0"/>
          <w:numId w:val="0"/>
        </w:numPr>
        <w:tabs>
          <w:tab w:val="left" w:pos="420"/>
        </w:tabs>
        <w:ind w:leftChars="0"/>
        <w:jc w:val="left"/>
        <w:outlineLvl w:val="9"/>
        <w:rPr>
          <w:rStyle w:val="18"/>
          <w:rFonts w:hint="default" w:ascii="仿宋_GB2312" w:hAnsi="仿宋_GB2312" w:eastAsia="仿宋_GB2312" w:cs="仿宋_GB2312"/>
          <w:b/>
          <w:bCs w:val="0"/>
          <w:i w:val="0"/>
          <w:iCs w:val="0"/>
          <w:sz w:val="32"/>
          <w:szCs w:val="32"/>
          <w:lang w:val="en-US" w:eastAsia="zh-CN"/>
        </w:rPr>
      </w:pPr>
    </w:p>
    <w:p w14:paraId="0939ABA7">
      <w:pPr>
        <w:pStyle w:val="7"/>
        <w:numPr>
          <w:ilvl w:val="0"/>
          <w:numId w:val="10"/>
        </w:numPr>
        <w:ind w:left="425" w:leftChars="0" w:hanging="425" w:firstLineChars="0"/>
        <w:jc w:val="left"/>
        <w:outlineLvl w:val="0"/>
        <w:rPr>
          <w:rStyle w:val="18"/>
          <w:rFonts w:hint="default" w:ascii="仿宋_GB2312" w:hAnsi="仿宋_GB2312" w:eastAsia="仿宋_GB2312" w:cs="仿宋_GB2312"/>
          <w:b/>
          <w:bCs w:val="0"/>
          <w:i w:val="0"/>
          <w:iCs w:val="0"/>
          <w:sz w:val="32"/>
          <w:szCs w:val="32"/>
          <w:lang w:val="en-US" w:eastAsia="zh-CN"/>
        </w:rPr>
      </w:pPr>
      <w:r>
        <w:rPr>
          <w:rStyle w:val="18"/>
          <w:rFonts w:hint="eastAsia" w:ascii="仿宋_GB2312" w:hAnsi="仿宋_GB2312" w:eastAsia="仿宋_GB2312" w:cs="仿宋_GB2312"/>
          <w:b/>
          <w:bCs w:val="0"/>
          <w:i w:val="0"/>
          <w:iCs w:val="0"/>
          <w:sz w:val="32"/>
          <w:szCs w:val="32"/>
          <w:lang w:val="en-US" w:eastAsia="zh-CN"/>
        </w:rPr>
        <w:t>硬件需求。</w:t>
      </w:r>
    </w:p>
    <w:tbl>
      <w:tblPr>
        <w:tblStyle w:val="1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21"/>
        <w:gridCol w:w="1221"/>
        <w:gridCol w:w="5273"/>
      </w:tblGrid>
      <w:tr w14:paraId="6452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tcBorders>
              <w:tl2br w:val="nil"/>
              <w:tr2bl w:val="nil"/>
            </w:tcBorders>
            <w:noWrap/>
            <w:vAlign w:val="center"/>
          </w:tcPr>
          <w:p w14:paraId="425C5AED">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序号</w:t>
            </w:r>
          </w:p>
        </w:tc>
        <w:tc>
          <w:tcPr>
            <w:tcW w:w="1221" w:type="dxa"/>
            <w:tcBorders>
              <w:tl2br w:val="nil"/>
              <w:tr2bl w:val="nil"/>
            </w:tcBorders>
            <w:noWrap/>
            <w:vAlign w:val="center"/>
          </w:tcPr>
          <w:p w14:paraId="020CEE0A">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产品名称</w:t>
            </w:r>
          </w:p>
        </w:tc>
        <w:tc>
          <w:tcPr>
            <w:tcW w:w="1221" w:type="dxa"/>
            <w:tcBorders>
              <w:tl2br w:val="nil"/>
              <w:tr2bl w:val="nil"/>
            </w:tcBorders>
            <w:noWrap/>
            <w:vAlign w:val="center"/>
          </w:tcPr>
          <w:p w14:paraId="6EF11E4F">
            <w:pPr>
              <w:keepNext w:val="0"/>
              <w:keepLines w:val="0"/>
              <w:pageBreakBefore w:val="0"/>
              <w:widowControl w:val="0"/>
              <w:numPr>
                <w:ilvl w:val="0"/>
                <w:numId w:val="0"/>
              </w:numPr>
              <w:kinsoku/>
              <w:wordWrap/>
              <w:overflowPunct/>
              <w:topLinePunct w:val="0"/>
              <w:autoSpaceDE/>
              <w:autoSpaceDN/>
              <w:bidi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功能模块</w:t>
            </w:r>
          </w:p>
        </w:tc>
        <w:tc>
          <w:tcPr>
            <w:tcW w:w="5273" w:type="dxa"/>
            <w:tcBorders>
              <w:tl2br w:val="nil"/>
              <w:tr2bl w:val="nil"/>
            </w:tcBorders>
            <w:noWrap/>
            <w:vAlign w:val="center"/>
          </w:tcPr>
          <w:p w14:paraId="34599314">
            <w:pPr>
              <w:keepNext w:val="0"/>
              <w:keepLines w:val="0"/>
              <w:pageBreakBefore w:val="0"/>
              <w:widowControl w:val="0"/>
              <w:numPr>
                <w:ilvl w:val="0"/>
                <w:numId w:val="0"/>
              </w:numPr>
              <w:kinsoku/>
              <w:wordWrap/>
              <w:overflowPunct/>
              <w:topLinePunct w:val="0"/>
              <w:autoSpaceDE/>
              <w:autoSpaceDN/>
              <w:bidi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功能描述及要求</w:t>
            </w:r>
          </w:p>
        </w:tc>
      </w:tr>
      <w:tr w14:paraId="12D2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restart"/>
            <w:tcBorders>
              <w:tl2br w:val="nil"/>
              <w:tr2bl w:val="nil"/>
            </w:tcBorders>
            <w:noWrap/>
            <w:vAlign w:val="center"/>
          </w:tcPr>
          <w:p w14:paraId="61AB0509">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1221" w:type="dxa"/>
            <w:vMerge w:val="restart"/>
            <w:tcBorders>
              <w:tl2br w:val="nil"/>
              <w:tr2bl w:val="nil"/>
            </w:tcBorders>
            <w:noWrap/>
            <w:vAlign w:val="center"/>
          </w:tcPr>
          <w:p w14:paraId="5784FC2C">
            <w:pPr>
              <w:keepNext w:val="0"/>
              <w:keepLines w:val="0"/>
              <w:pageBreakBefore w:val="0"/>
              <w:widowControl w:val="0"/>
              <w:numPr>
                <w:ilvl w:val="0"/>
                <w:numId w:val="0"/>
              </w:numPr>
              <w:kinsoku/>
              <w:wordWrap/>
              <w:overflowPunct/>
              <w:topLinePunct w:val="0"/>
              <w:autoSpaceDE/>
              <w:autoSpaceDN/>
              <w:bidi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21.5寸壁挂式自助机</w:t>
            </w:r>
          </w:p>
        </w:tc>
        <w:tc>
          <w:tcPr>
            <w:tcW w:w="1221" w:type="dxa"/>
            <w:tcBorders>
              <w:tl2br w:val="nil"/>
              <w:tr2bl w:val="nil"/>
            </w:tcBorders>
            <w:noWrap/>
            <w:vAlign w:val="center"/>
          </w:tcPr>
          <w:p w14:paraId="43E40101">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sz w:val="24"/>
                <w:lang w:val="en-US" w:eastAsia="zh-CN"/>
              </w:rPr>
              <w:t>主机配置</w:t>
            </w:r>
          </w:p>
        </w:tc>
        <w:tc>
          <w:tcPr>
            <w:tcW w:w="5273" w:type="dxa"/>
            <w:tcBorders>
              <w:tl2br w:val="nil"/>
              <w:tr2bl w:val="nil"/>
            </w:tcBorders>
            <w:noWrap/>
            <w:vAlign w:val="center"/>
          </w:tcPr>
          <w:p w14:paraId="74AA1187">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color w:val="auto"/>
                <w:kern w:val="0"/>
                <w:sz w:val="24"/>
                <w:szCs w:val="24"/>
                <w:lang w:val="en-US" w:eastAsia="zh-CN" w:bidi="ar"/>
              </w:rPr>
              <w:t>YS-M68(4+32G) 4核/2.0GHz</w:t>
            </w:r>
          </w:p>
        </w:tc>
      </w:tr>
      <w:tr w14:paraId="360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3D75ADEE">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47AACE42">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6FED0595">
            <w:pPr>
              <w:keepNext w:val="0"/>
              <w:keepLines w:val="0"/>
              <w:widowControl/>
              <w:suppressLineNumbers w:val="0"/>
              <w:jc w:val="left"/>
              <w:rPr>
                <w:rFonts w:hint="eastAsia" w:ascii="宋体" w:hAnsi="宋体" w:eastAsia="宋体" w:cs="宋体"/>
                <w:sz w:val="24"/>
                <w:lang w:val="en-US" w:eastAsia="zh-CN"/>
              </w:rPr>
            </w:pPr>
            <w:r>
              <w:rPr>
                <w:rFonts w:ascii="宋体" w:hAnsi="宋体" w:eastAsia="宋体" w:cs="宋体"/>
                <w:kern w:val="0"/>
                <w:sz w:val="24"/>
                <w:szCs w:val="24"/>
                <w:lang w:val="en-US" w:eastAsia="zh-CN" w:bidi="ar"/>
              </w:rPr>
              <w:t>操作系统</w:t>
            </w:r>
          </w:p>
        </w:tc>
        <w:tc>
          <w:tcPr>
            <w:tcW w:w="5273" w:type="dxa"/>
            <w:tcBorders>
              <w:tl2br w:val="nil"/>
              <w:tr2bl w:val="nil"/>
            </w:tcBorders>
            <w:noWrap/>
            <w:vAlign w:val="center"/>
          </w:tcPr>
          <w:p w14:paraId="6ED1E279">
            <w:pPr>
              <w:keepNext w:val="0"/>
              <w:keepLines w:val="0"/>
              <w:widowControl/>
              <w:suppressLineNumbers w:val="0"/>
              <w:jc w:val="left"/>
              <w:rPr>
                <w:rFonts w:hint="default" w:ascii="宋体" w:hAnsi="宋体" w:eastAsia="宋体" w:cs="宋体"/>
                <w:sz w:val="24"/>
                <w:lang w:val="en-US" w:eastAsia="zh-CN"/>
              </w:rPr>
            </w:pPr>
            <w:r>
              <w:rPr>
                <w:rFonts w:ascii="宋体" w:hAnsi="宋体" w:eastAsia="宋体" w:cs="宋体"/>
                <w:kern w:val="0"/>
                <w:sz w:val="24"/>
                <w:szCs w:val="24"/>
                <w:lang w:val="en-US" w:eastAsia="zh-CN" w:bidi="ar"/>
              </w:rPr>
              <w:t>Android</w:t>
            </w:r>
            <w:r>
              <w:rPr>
                <w:rFonts w:hint="eastAsia" w:ascii="宋体" w:hAnsi="宋体" w:eastAsia="宋体" w:cs="宋体"/>
                <w:kern w:val="0"/>
                <w:sz w:val="24"/>
                <w:szCs w:val="24"/>
                <w:lang w:val="en-US" w:eastAsia="zh-CN" w:bidi="ar"/>
              </w:rPr>
              <w:t xml:space="preserve"> 11 </w:t>
            </w:r>
          </w:p>
        </w:tc>
      </w:tr>
      <w:tr w14:paraId="2EEB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38243B7A">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719B61EF">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7BA9B1BA">
            <w:pPr>
              <w:keepNext w:val="0"/>
              <w:keepLines w:val="0"/>
              <w:widowControl/>
              <w:suppressLineNumbers w:val="0"/>
              <w:jc w:val="left"/>
              <w:rPr>
                <w:rFonts w:hint="eastAsia" w:ascii="宋体" w:hAnsi="宋体" w:eastAsia="宋体" w:cs="宋体"/>
                <w:sz w:val="24"/>
                <w:lang w:val="en-US" w:eastAsia="zh-CN"/>
              </w:rPr>
            </w:pPr>
            <w:r>
              <w:rPr>
                <w:rFonts w:ascii="宋体" w:hAnsi="宋体" w:eastAsia="宋体" w:cs="宋体"/>
                <w:kern w:val="0"/>
                <w:sz w:val="24"/>
                <w:szCs w:val="24"/>
                <w:lang w:val="en-US" w:eastAsia="zh-CN" w:bidi="ar"/>
              </w:rPr>
              <w:t>显示屏</w:t>
            </w:r>
          </w:p>
        </w:tc>
        <w:tc>
          <w:tcPr>
            <w:tcW w:w="5273" w:type="dxa"/>
            <w:tcBorders>
              <w:tl2br w:val="nil"/>
              <w:tr2bl w:val="nil"/>
            </w:tcBorders>
            <w:noWrap/>
            <w:vAlign w:val="center"/>
          </w:tcPr>
          <w:p w14:paraId="4A34F354">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kern w:val="0"/>
                <w:sz w:val="24"/>
                <w:szCs w:val="24"/>
                <w:lang w:val="en-US" w:eastAsia="zh-CN" w:bidi="ar"/>
              </w:rPr>
              <w:t>21.5寸液晶显示屏，分辨率1080*1920，比例9:16，竖屏。</w:t>
            </w:r>
          </w:p>
        </w:tc>
      </w:tr>
      <w:tr w14:paraId="2173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51395FD0">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5BE397CC">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246CDBAD">
            <w:pPr>
              <w:keepNext w:val="0"/>
              <w:keepLines w:val="0"/>
              <w:widowControl/>
              <w:suppressLineNumbers w:val="0"/>
              <w:jc w:val="left"/>
              <w:rPr>
                <w:rFonts w:hint="eastAsia" w:ascii="宋体" w:hAnsi="宋体" w:eastAsia="宋体" w:cs="宋体"/>
                <w:sz w:val="24"/>
                <w:lang w:val="en-US" w:eastAsia="zh-CN"/>
              </w:rPr>
            </w:pPr>
            <w:r>
              <w:rPr>
                <w:rFonts w:ascii="宋体" w:hAnsi="宋体" w:eastAsia="宋体" w:cs="宋体"/>
                <w:kern w:val="0"/>
                <w:sz w:val="24"/>
                <w:szCs w:val="24"/>
                <w:lang w:val="en-US" w:eastAsia="zh-CN" w:bidi="ar"/>
              </w:rPr>
              <w:t>触摸</w:t>
            </w:r>
          </w:p>
        </w:tc>
        <w:tc>
          <w:tcPr>
            <w:tcW w:w="5273" w:type="dxa"/>
            <w:tcBorders>
              <w:tl2br w:val="nil"/>
              <w:tr2bl w:val="nil"/>
            </w:tcBorders>
            <w:noWrap/>
            <w:vAlign w:val="center"/>
          </w:tcPr>
          <w:p w14:paraId="163BCD7F">
            <w:pPr>
              <w:keepNext w:val="0"/>
              <w:keepLines w:val="0"/>
              <w:widowControl/>
              <w:suppressLineNumbers w:val="0"/>
              <w:jc w:val="left"/>
              <w:rPr>
                <w:rFonts w:hint="eastAsia" w:ascii="宋体" w:hAnsi="宋体" w:eastAsia="宋体" w:cs="宋体"/>
                <w:sz w:val="24"/>
                <w:lang w:val="en-US" w:eastAsia="zh-CN"/>
              </w:rPr>
            </w:pPr>
            <w:r>
              <w:rPr>
                <w:rFonts w:hint="eastAsia" w:ascii="宋体" w:hAnsi="宋体" w:eastAsia="宋体" w:cs="宋体"/>
                <w:kern w:val="0"/>
                <w:sz w:val="24"/>
                <w:szCs w:val="24"/>
                <w:lang w:val="en-US" w:eastAsia="zh-CN" w:bidi="ar"/>
              </w:rPr>
              <w:t>21.5寸多点电容触摸，高透光，高精准。</w:t>
            </w:r>
          </w:p>
        </w:tc>
      </w:tr>
      <w:tr w14:paraId="7103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0180C1ED">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16196902">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68F5910B">
            <w:pPr>
              <w:keepNext w:val="0"/>
              <w:keepLines w:val="0"/>
              <w:widowControl/>
              <w:suppressLineNumbers w:val="0"/>
              <w:jc w:val="left"/>
              <w:rPr>
                <w:rFonts w:hint="eastAsia" w:ascii="宋体" w:hAnsi="宋体" w:eastAsia="宋体" w:cs="宋体"/>
                <w:sz w:val="24"/>
                <w:lang w:val="en-US" w:eastAsia="zh-CN"/>
              </w:rPr>
            </w:pPr>
            <w:r>
              <w:rPr>
                <w:rFonts w:ascii="宋体" w:hAnsi="宋体" w:eastAsia="宋体" w:cs="宋体"/>
                <w:kern w:val="0"/>
                <w:sz w:val="24"/>
                <w:szCs w:val="24"/>
                <w:lang w:val="en-US" w:eastAsia="zh-CN" w:bidi="ar"/>
              </w:rPr>
              <w:t>打印模块</w:t>
            </w:r>
          </w:p>
        </w:tc>
        <w:tc>
          <w:tcPr>
            <w:tcW w:w="5273" w:type="dxa"/>
            <w:tcBorders>
              <w:tl2br w:val="nil"/>
              <w:tr2bl w:val="nil"/>
            </w:tcBorders>
            <w:noWrap/>
            <w:vAlign w:val="center"/>
          </w:tcPr>
          <w:p w14:paraId="6746CAC9">
            <w:pPr>
              <w:keepNext w:val="0"/>
              <w:keepLines w:val="0"/>
              <w:widowControl/>
              <w:suppressLineNumbers w:val="0"/>
              <w:jc w:val="left"/>
              <w:rPr>
                <w:rFonts w:hint="eastAsia" w:ascii="宋体" w:hAnsi="宋体" w:eastAsia="宋体" w:cs="宋体"/>
                <w:sz w:val="24"/>
                <w:lang w:val="en-US" w:eastAsia="zh-CN"/>
              </w:rPr>
            </w:pPr>
            <w:r>
              <w:rPr>
                <w:rFonts w:hint="eastAsia" w:ascii="宋体" w:hAnsi="宋体" w:eastAsia="宋体" w:cs="宋体"/>
                <w:kern w:val="0"/>
                <w:sz w:val="24"/>
                <w:szCs w:val="24"/>
                <w:lang w:val="en-US" w:eastAsia="zh-CN" w:bidi="ar"/>
              </w:rPr>
              <w:t>80mm热敏打印机，低噪音快速打印，自动切纸。</w:t>
            </w:r>
          </w:p>
        </w:tc>
      </w:tr>
      <w:tr w14:paraId="5CD4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7D6043B3">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46E2A342">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060327E1">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sz w:val="24"/>
                <w:lang w:val="en-US" w:eastAsia="zh-CN"/>
              </w:rPr>
              <w:t>语音系统</w:t>
            </w:r>
          </w:p>
        </w:tc>
        <w:tc>
          <w:tcPr>
            <w:tcW w:w="5273" w:type="dxa"/>
            <w:tcBorders>
              <w:tl2br w:val="nil"/>
              <w:tr2bl w:val="nil"/>
            </w:tcBorders>
            <w:noWrap/>
            <w:vAlign w:val="center"/>
          </w:tcPr>
          <w:p w14:paraId="47D0FEA6">
            <w:pPr>
              <w:keepNext w:val="0"/>
              <w:keepLines w:val="0"/>
              <w:widowControl/>
              <w:suppressLineNumbers w:val="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内置音箱和功放，也可外接音箱。 </w:t>
            </w:r>
          </w:p>
        </w:tc>
      </w:tr>
      <w:tr w14:paraId="182F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75008881">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02BFD859">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5DA894BF">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sz w:val="24"/>
                <w:lang w:val="en-US" w:eastAsia="zh-CN"/>
              </w:rPr>
              <w:t>其它</w:t>
            </w:r>
          </w:p>
        </w:tc>
        <w:tc>
          <w:tcPr>
            <w:tcW w:w="5273" w:type="dxa"/>
            <w:tcBorders>
              <w:tl2br w:val="nil"/>
              <w:tr2bl w:val="nil"/>
            </w:tcBorders>
            <w:noWrap/>
            <w:vAlign w:val="center"/>
          </w:tcPr>
          <w:p w14:paraId="70775F15">
            <w:pPr>
              <w:keepNext w:val="0"/>
              <w:keepLines w:val="0"/>
              <w:widowControl/>
              <w:suppressLineNumbers w:val="0"/>
              <w:jc w:val="left"/>
              <w:rPr>
                <w:rFonts w:hint="default" w:ascii="宋体" w:hAnsi="宋体" w:eastAsia="宋体" w:cs="宋体"/>
                <w:sz w:val="24"/>
                <w:lang w:val="en-US" w:eastAsia="zh-CN"/>
              </w:rPr>
            </w:pPr>
            <w:r>
              <w:rPr>
                <w:rFonts w:hint="default" w:ascii="宋体" w:hAnsi="宋体" w:eastAsia="宋体" w:cs="宋体"/>
                <w:sz w:val="24"/>
                <w:lang w:val="en-US" w:eastAsia="zh-CN"/>
              </w:rPr>
              <w:t>身份证模块、二维码</w:t>
            </w:r>
            <w:r>
              <w:rPr>
                <w:rFonts w:hint="eastAsia" w:ascii="宋体" w:hAnsi="宋体" w:eastAsia="宋体" w:cs="宋体"/>
                <w:sz w:val="24"/>
                <w:lang w:val="en-US" w:eastAsia="zh-CN"/>
              </w:rPr>
              <w:t>扫码</w:t>
            </w:r>
            <w:r>
              <w:rPr>
                <w:rFonts w:hint="default" w:ascii="宋体" w:hAnsi="宋体" w:eastAsia="宋体" w:cs="宋体"/>
                <w:sz w:val="24"/>
                <w:lang w:val="en-US" w:eastAsia="zh-CN"/>
              </w:rPr>
              <w:t>模块</w:t>
            </w:r>
          </w:p>
        </w:tc>
      </w:tr>
    </w:tbl>
    <w:p w14:paraId="26C0A66C">
      <w:pPr>
        <w:pStyle w:val="8"/>
        <w:rPr>
          <w:rFonts w:hint="default"/>
          <w:lang w:val="en-US" w:eastAsia="zh-CN"/>
        </w:rPr>
      </w:pPr>
    </w:p>
    <w:p w14:paraId="58A14AF6">
      <w:pPr>
        <w:pStyle w:val="7"/>
        <w:spacing w:line="360" w:lineRule="auto"/>
        <w:rPr>
          <w:rFonts w:hint="eastAsia" w:ascii="宋体" w:hAnsi="宋体" w:eastAsia="宋体" w:cs="宋体"/>
          <w:lang w:val="en-US" w:eastAsia="zh-CN"/>
        </w:rPr>
      </w:pPr>
    </w:p>
    <w:p w14:paraId="19A808E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FEC9A"/>
    <w:multiLevelType w:val="singleLevel"/>
    <w:tmpl w:val="82CFEC9A"/>
    <w:lvl w:ilvl="0" w:tentative="0">
      <w:start w:val="1"/>
      <w:numFmt w:val="decimal"/>
      <w:lvlText w:val="%1."/>
      <w:lvlJc w:val="left"/>
      <w:pPr>
        <w:ind w:left="425" w:hanging="425"/>
      </w:pPr>
      <w:rPr>
        <w:rFonts w:hint="default"/>
      </w:rPr>
    </w:lvl>
  </w:abstractNum>
  <w:abstractNum w:abstractNumId="1">
    <w:nsid w:val="850A5344"/>
    <w:multiLevelType w:val="singleLevel"/>
    <w:tmpl w:val="850A5344"/>
    <w:lvl w:ilvl="0" w:tentative="0">
      <w:start w:val="1"/>
      <w:numFmt w:val="decimal"/>
      <w:lvlText w:val="%1."/>
      <w:lvlJc w:val="left"/>
      <w:pPr>
        <w:ind w:left="425" w:hanging="425"/>
      </w:pPr>
      <w:rPr>
        <w:rFonts w:hint="default"/>
      </w:rPr>
    </w:lvl>
  </w:abstractNum>
  <w:abstractNum w:abstractNumId="2">
    <w:nsid w:val="A5C75C83"/>
    <w:multiLevelType w:val="singleLevel"/>
    <w:tmpl w:val="A5C75C83"/>
    <w:lvl w:ilvl="0" w:tentative="0">
      <w:start w:val="1"/>
      <w:numFmt w:val="decimal"/>
      <w:suff w:val="nothing"/>
      <w:lvlText w:val="%1、"/>
      <w:lvlJc w:val="left"/>
      <w:pPr>
        <w:tabs>
          <w:tab w:val="left" w:pos="0"/>
        </w:tabs>
        <w:ind w:left="425" w:hanging="425"/>
      </w:pPr>
      <w:rPr>
        <w:rFonts w:hint="default" w:ascii="仿宋_GB2312" w:hAnsi="仿宋_GB2312" w:cs="仿宋_GB2312"/>
        <w:sz w:val="24"/>
        <w:szCs w:val="24"/>
      </w:rPr>
    </w:lvl>
  </w:abstractNum>
  <w:abstractNum w:abstractNumId="3">
    <w:nsid w:val="B7C0FB48"/>
    <w:multiLevelType w:val="singleLevel"/>
    <w:tmpl w:val="B7C0FB48"/>
    <w:lvl w:ilvl="0" w:tentative="0">
      <w:start w:val="1"/>
      <w:numFmt w:val="decimal"/>
      <w:lvlText w:val="%1."/>
      <w:lvlJc w:val="left"/>
      <w:pPr>
        <w:ind w:left="425" w:hanging="425"/>
      </w:pPr>
      <w:rPr>
        <w:rFonts w:hint="default"/>
      </w:rPr>
    </w:lvl>
  </w:abstractNum>
  <w:abstractNum w:abstractNumId="4">
    <w:nsid w:val="BD10E7E8"/>
    <w:multiLevelType w:val="singleLevel"/>
    <w:tmpl w:val="BD10E7E8"/>
    <w:lvl w:ilvl="0" w:tentative="0">
      <w:start w:val="1"/>
      <w:numFmt w:val="decimal"/>
      <w:lvlText w:val="%1."/>
      <w:lvlJc w:val="left"/>
      <w:pPr>
        <w:ind w:left="425" w:hanging="425"/>
      </w:pPr>
      <w:rPr>
        <w:rFonts w:hint="default"/>
      </w:rPr>
    </w:lvl>
  </w:abstractNum>
  <w:abstractNum w:abstractNumId="5">
    <w:nsid w:val="CF1EC847"/>
    <w:multiLevelType w:val="singleLevel"/>
    <w:tmpl w:val="CF1EC847"/>
    <w:lvl w:ilvl="0" w:tentative="0">
      <w:start w:val="1"/>
      <w:numFmt w:val="decimal"/>
      <w:lvlText w:val="%1."/>
      <w:lvlJc w:val="left"/>
      <w:pPr>
        <w:ind w:left="425" w:hanging="425"/>
      </w:pPr>
      <w:rPr>
        <w:rFonts w:hint="default"/>
      </w:rPr>
    </w:lvl>
  </w:abstractNum>
  <w:abstractNum w:abstractNumId="6">
    <w:nsid w:val="ED0845A2"/>
    <w:multiLevelType w:val="multilevel"/>
    <w:tmpl w:val="ED0845A2"/>
    <w:lvl w:ilvl="0" w:tentative="0">
      <w:start w:val="1"/>
      <w:numFmt w:val="decimal"/>
      <w:suff w:val="nothing"/>
      <w:lvlText w:val="%1."/>
      <w:lvlJc w:val="left"/>
      <w:pPr>
        <w:tabs>
          <w:tab w:val="left" w:pos="420"/>
        </w:tabs>
        <w:ind w:left="425" w:hanging="425"/>
      </w:pPr>
      <w:rPr>
        <w:rFonts w:hint="default" w:ascii="宋体" w:hAnsi="宋体" w:eastAsia="宋体" w:cs="宋体"/>
      </w:rPr>
    </w:lvl>
    <w:lvl w:ilvl="1" w:tentative="0">
      <w:start w:val="1"/>
      <w:numFmt w:val="decimal"/>
      <w:suff w:val="nothing"/>
      <w:lvlText w:val="%1.%2"/>
      <w:lvlJc w:val="left"/>
      <w:pPr>
        <w:tabs>
          <w:tab w:val="left" w:pos="0"/>
        </w:tabs>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EECDA584"/>
    <w:multiLevelType w:val="singleLevel"/>
    <w:tmpl w:val="EECDA584"/>
    <w:lvl w:ilvl="0" w:tentative="0">
      <w:start w:val="1"/>
      <w:numFmt w:val="decimal"/>
      <w:lvlText w:val="%1."/>
      <w:lvlJc w:val="left"/>
      <w:pPr>
        <w:ind w:left="425" w:hanging="425"/>
      </w:pPr>
      <w:rPr>
        <w:rFonts w:hint="default"/>
      </w:rPr>
    </w:lvl>
  </w:abstractNum>
  <w:abstractNum w:abstractNumId="8">
    <w:nsid w:val="FA13C889"/>
    <w:multiLevelType w:val="singleLevel"/>
    <w:tmpl w:val="FA13C889"/>
    <w:lvl w:ilvl="0" w:tentative="0">
      <w:start w:val="1"/>
      <w:numFmt w:val="decimal"/>
      <w:lvlText w:val="%1."/>
      <w:lvlJc w:val="left"/>
      <w:pPr>
        <w:ind w:left="425" w:hanging="425"/>
      </w:pPr>
      <w:rPr>
        <w:rFonts w:hint="default"/>
      </w:rPr>
    </w:lvl>
  </w:abstractNum>
  <w:abstractNum w:abstractNumId="9">
    <w:nsid w:val="0419963C"/>
    <w:multiLevelType w:val="multilevel"/>
    <w:tmpl w:val="0419963C"/>
    <w:lvl w:ilvl="0" w:tentative="0">
      <w:start w:val="2"/>
      <w:numFmt w:val="decimal"/>
      <w:suff w:val="nothing"/>
      <w:lvlText w:val="%1."/>
      <w:lvlJc w:val="left"/>
      <w:pPr>
        <w:tabs>
          <w:tab w:val="left" w:pos="420"/>
        </w:tabs>
        <w:ind w:left="425" w:hanging="425"/>
      </w:pPr>
      <w:rPr>
        <w:rFonts w:hint="default" w:ascii="宋体" w:hAnsi="宋体" w:eastAsia="宋体" w:cs="宋体"/>
      </w:rPr>
    </w:lvl>
    <w:lvl w:ilvl="1" w:tentative="0">
      <w:start w:val="1"/>
      <w:numFmt w:val="decimal"/>
      <w:suff w:val="nothing"/>
      <w:lvlText w:val="%1.%2"/>
      <w:lvlJc w:val="left"/>
      <w:pPr>
        <w:tabs>
          <w:tab w:val="left" w:pos="0"/>
        </w:tabs>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1095845C"/>
    <w:multiLevelType w:val="multilevel"/>
    <w:tmpl w:val="1095845C"/>
    <w:lvl w:ilvl="0" w:tentative="0">
      <w:start w:val="3"/>
      <w:numFmt w:val="decimal"/>
      <w:lvlText w:val="%1."/>
      <w:lvlJc w:val="left"/>
      <w:pPr>
        <w:tabs>
          <w:tab w:val="left" w:pos="420"/>
        </w:tabs>
        <w:ind w:left="425" w:hanging="425"/>
      </w:pPr>
      <w:rPr>
        <w:rFonts w:hint="default" w:ascii="宋体" w:hAnsi="宋体" w:eastAsia="宋体" w:cs="宋体"/>
      </w:rPr>
    </w:lvl>
    <w:lvl w:ilvl="1" w:tentative="0">
      <w:start w:val="1"/>
      <w:numFmt w:val="decimal"/>
      <w:suff w:val="nothing"/>
      <w:lvlText w:val="%1.%2"/>
      <w:lvlJc w:val="left"/>
      <w:pPr>
        <w:tabs>
          <w:tab w:val="left" w:pos="0"/>
        </w:tabs>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19B2382F"/>
    <w:multiLevelType w:val="multilevel"/>
    <w:tmpl w:val="19B2382F"/>
    <w:lvl w:ilvl="0" w:tentative="0">
      <w:start w:val="1"/>
      <w:numFmt w:val="decimal"/>
      <w:suff w:val="space"/>
      <w:lvlText w:val="%1."/>
      <w:lvlJc w:val="left"/>
      <w:pPr>
        <w:tabs>
          <w:tab w:val="left" w:pos="420"/>
        </w:tabs>
        <w:ind w:left="425" w:hanging="425"/>
      </w:pPr>
      <w:rPr>
        <w:rFonts w:hint="default"/>
      </w:rPr>
    </w:lvl>
    <w:lvl w:ilvl="1" w:tentative="0">
      <w:start w:val="1"/>
      <w:numFmt w:val="decimal"/>
      <w:suff w:val="space"/>
      <w:lvlText w:val="%1.%2."/>
      <w:lvlJc w:val="left"/>
      <w:pPr>
        <w:tabs>
          <w:tab w:val="left" w:pos="420"/>
        </w:tabs>
        <w:ind w:left="567" w:hanging="567"/>
      </w:pPr>
      <w:rPr>
        <w:rFonts w:hint="default"/>
      </w:rPr>
    </w:lvl>
    <w:lvl w:ilvl="2" w:tentative="0">
      <w:start w:val="1"/>
      <w:numFmt w:val="decimal"/>
      <w:suff w:val="space"/>
      <w:lvlText w:val="%1.%2.%3."/>
      <w:lvlJc w:val="left"/>
      <w:pPr>
        <w:tabs>
          <w:tab w:val="left" w:pos="420"/>
        </w:tabs>
        <w:ind w:left="709" w:hanging="709"/>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2BC47D99"/>
    <w:multiLevelType w:val="singleLevel"/>
    <w:tmpl w:val="2BC47D99"/>
    <w:lvl w:ilvl="0" w:tentative="0">
      <w:start w:val="1"/>
      <w:numFmt w:val="decimal"/>
      <w:lvlText w:val="%1."/>
      <w:lvlJc w:val="left"/>
      <w:pPr>
        <w:ind w:left="425" w:hanging="425"/>
      </w:pPr>
      <w:rPr>
        <w:rFonts w:hint="default"/>
      </w:rPr>
    </w:lvl>
  </w:abstractNum>
  <w:abstractNum w:abstractNumId="13">
    <w:nsid w:val="37938668"/>
    <w:multiLevelType w:val="singleLevel"/>
    <w:tmpl w:val="37938668"/>
    <w:lvl w:ilvl="0" w:tentative="0">
      <w:start w:val="1"/>
      <w:numFmt w:val="decimal"/>
      <w:lvlText w:val="%1."/>
      <w:lvlJc w:val="left"/>
      <w:pPr>
        <w:ind w:left="425" w:hanging="425"/>
      </w:pPr>
      <w:rPr>
        <w:rFonts w:hint="default"/>
      </w:rPr>
    </w:lvl>
  </w:abstractNum>
  <w:abstractNum w:abstractNumId="14">
    <w:nsid w:val="3E00B632"/>
    <w:multiLevelType w:val="singleLevel"/>
    <w:tmpl w:val="3E00B632"/>
    <w:lvl w:ilvl="0" w:tentative="0">
      <w:start w:val="1"/>
      <w:numFmt w:val="decimal"/>
      <w:lvlText w:val="%1."/>
      <w:lvlJc w:val="left"/>
      <w:pPr>
        <w:ind w:left="425" w:hanging="425"/>
      </w:pPr>
      <w:rPr>
        <w:rFonts w:hint="default"/>
      </w:rPr>
    </w:lvl>
  </w:abstractNum>
  <w:abstractNum w:abstractNumId="15">
    <w:nsid w:val="40566E72"/>
    <w:multiLevelType w:val="singleLevel"/>
    <w:tmpl w:val="40566E72"/>
    <w:lvl w:ilvl="0" w:tentative="0">
      <w:start w:val="1"/>
      <w:numFmt w:val="decimal"/>
      <w:lvlText w:val="%1."/>
      <w:lvlJc w:val="left"/>
      <w:pPr>
        <w:ind w:left="425" w:hanging="425"/>
      </w:pPr>
      <w:rPr>
        <w:rFonts w:hint="default"/>
      </w:rPr>
    </w:lvl>
  </w:abstractNum>
  <w:abstractNum w:abstractNumId="16">
    <w:nsid w:val="526979ED"/>
    <w:multiLevelType w:val="singleLevel"/>
    <w:tmpl w:val="526979ED"/>
    <w:lvl w:ilvl="0" w:tentative="0">
      <w:start w:val="1"/>
      <w:numFmt w:val="decimal"/>
      <w:suff w:val="nothing"/>
      <w:lvlText w:val="%1、"/>
      <w:lvlJc w:val="left"/>
      <w:pPr>
        <w:tabs>
          <w:tab w:val="left" w:pos="0"/>
        </w:tabs>
        <w:ind w:left="425" w:hanging="425"/>
      </w:pPr>
      <w:rPr>
        <w:rFonts w:hint="default" w:ascii="仿宋_GB2312" w:hAnsi="仿宋_GB2312" w:cs="仿宋_GB2312"/>
        <w:sz w:val="24"/>
        <w:szCs w:val="24"/>
      </w:rPr>
    </w:lvl>
  </w:abstractNum>
  <w:abstractNum w:abstractNumId="17">
    <w:nsid w:val="53369989"/>
    <w:multiLevelType w:val="singleLevel"/>
    <w:tmpl w:val="53369989"/>
    <w:lvl w:ilvl="0" w:tentative="0">
      <w:start w:val="1"/>
      <w:numFmt w:val="decimal"/>
      <w:lvlText w:val="%1."/>
      <w:lvlJc w:val="left"/>
      <w:pPr>
        <w:ind w:left="425" w:hanging="425"/>
      </w:pPr>
      <w:rPr>
        <w:rFonts w:hint="default"/>
      </w:rPr>
    </w:lvl>
  </w:abstractNum>
  <w:abstractNum w:abstractNumId="18">
    <w:nsid w:val="5EFC99B4"/>
    <w:multiLevelType w:val="singleLevel"/>
    <w:tmpl w:val="5EFC99B4"/>
    <w:lvl w:ilvl="0" w:tentative="0">
      <w:start w:val="1"/>
      <w:numFmt w:val="decimal"/>
      <w:lvlText w:val="%1."/>
      <w:lvlJc w:val="left"/>
      <w:pPr>
        <w:ind w:left="425" w:hanging="425"/>
      </w:pPr>
      <w:rPr>
        <w:rFonts w:hint="default"/>
      </w:rPr>
    </w:lvl>
  </w:abstractNum>
  <w:abstractNum w:abstractNumId="19">
    <w:nsid w:val="5F806BF7"/>
    <w:multiLevelType w:val="singleLevel"/>
    <w:tmpl w:val="5F806BF7"/>
    <w:lvl w:ilvl="0" w:tentative="0">
      <w:start w:val="1"/>
      <w:numFmt w:val="decimal"/>
      <w:lvlText w:val="%1."/>
      <w:lvlJc w:val="left"/>
      <w:pPr>
        <w:ind w:left="425" w:hanging="425"/>
      </w:pPr>
      <w:rPr>
        <w:rFonts w:hint="default"/>
      </w:rPr>
    </w:lvl>
  </w:abstractNum>
  <w:abstractNum w:abstractNumId="20">
    <w:nsid w:val="6A1505B9"/>
    <w:multiLevelType w:val="singleLevel"/>
    <w:tmpl w:val="6A1505B9"/>
    <w:lvl w:ilvl="0" w:tentative="0">
      <w:start w:val="1"/>
      <w:numFmt w:val="decimal"/>
      <w:lvlText w:val="%1."/>
      <w:lvlJc w:val="left"/>
      <w:pPr>
        <w:ind w:left="425" w:hanging="425"/>
      </w:pPr>
      <w:rPr>
        <w:rFonts w:hint="default"/>
      </w:rPr>
    </w:lvl>
  </w:abstractNum>
  <w:abstractNum w:abstractNumId="21">
    <w:nsid w:val="6FDD15BE"/>
    <w:multiLevelType w:val="multilevel"/>
    <w:tmpl w:val="6FDD15BE"/>
    <w:lvl w:ilvl="0" w:tentative="0">
      <w:start w:val="1"/>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78AE0FD0"/>
    <w:multiLevelType w:val="singleLevel"/>
    <w:tmpl w:val="78AE0FD0"/>
    <w:lvl w:ilvl="0" w:tentative="0">
      <w:start w:val="1"/>
      <w:numFmt w:val="decimal"/>
      <w:suff w:val="nothing"/>
      <w:lvlText w:val="%1"/>
      <w:lvlJc w:val="left"/>
      <w:pPr>
        <w:tabs>
          <w:tab w:val="left" w:pos="397"/>
        </w:tabs>
        <w:ind w:left="454" w:leftChars="0" w:hanging="454" w:firstLineChars="0"/>
      </w:pPr>
      <w:rPr>
        <w:rFonts w:hint="default"/>
      </w:rPr>
    </w:lvl>
  </w:abstractNum>
  <w:num w:numId="1">
    <w:abstractNumId w:val="22"/>
  </w:num>
  <w:num w:numId="2">
    <w:abstractNumId w:val="6"/>
  </w:num>
  <w:num w:numId="3">
    <w:abstractNumId w:val="9"/>
  </w:num>
  <w:num w:numId="4">
    <w:abstractNumId w:val="16"/>
  </w:num>
  <w:num w:numId="5">
    <w:abstractNumId w:val="2"/>
  </w:num>
  <w:num w:numId="6">
    <w:abstractNumId w:val="10"/>
  </w:num>
  <w:num w:numId="7">
    <w:abstractNumId w:val="1"/>
  </w:num>
  <w:num w:numId="8">
    <w:abstractNumId w:val="5"/>
  </w:num>
  <w:num w:numId="9">
    <w:abstractNumId w:val="17"/>
  </w:num>
  <w:num w:numId="10">
    <w:abstractNumId w:val="21"/>
  </w:num>
  <w:num w:numId="11">
    <w:abstractNumId w:val="11"/>
  </w:num>
  <w:num w:numId="12">
    <w:abstractNumId w:val="4"/>
  </w:num>
  <w:num w:numId="13">
    <w:abstractNumId w:val="0"/>
  </w:num>
  <w:num w:numId="14">
    <w:abstractNumId w:val="8"/>
  </w:num>
  <w:num w:numId="15">
    <w:abstractNumId w:val="15"/>
  </w:num>
  <w:num w:numId="16">
    <w:abstractNumId w:val="13"/>
  </w:num>
  <w:num w:numId="17">
    <w:abstractNumId w:val="19"/>
  </w:num>
  <w:num w:numId="18">
    <w:abstractNumId w:val="3"/>
  </w:num>
  <w:num w:numId="19">
    <w:abstractNumId w:val="12"/>
  </w:num>
  <w:num w:numId="20">
    <w:abstractNumId w:val="7"/>
  </w:num>
  <w:num w:numId="21">
    <w:abstractNumId w:val="20"/>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1A496A"/>
    <w:rsid w:val="038141F9"/>
    <w:rsid w:val="05C83698"/>
    <w:rsid w:val="0A8A6F01"/>
    <w:rsid w:val="0BB574E9"/>
    <w:rsid w:val="0BC67500"/>
    <w:rsid w:val="0DF72211"/>
    <w:rsid w:val="0F227162"/>
    <w:rsid w:val="0F5C08A7"/>
    <w:rsid w:val="10A62A18"/>
    <w:rsid w:val="11FF749C"/>
    <w:rsid w:val="16373051"/>
    <w:rsid w:val="165E7E7E"/>
    <w:rsid w:val="174F484D"/>
    <w:rsid w:val="179A4019"/>
    <w:rsid w:val="17E814B3"/>
    <w:rsid w:val="19520625"/>
    <w:rsid w:val="1A120022"/>
    <w:rsid w:val="1AD24378"/>
    <w:rsid w:val="1AE22727"/>
    <w:rsid w:val="1C042A1F"/>
    <w:rsid w:val="20784C33"/>
    <w:rsid w:val="22E542B8"/>
    <w:rsid w:val="24D2209E"/>
    <w:rsid w:val="26B72AA4"/>
    <w:rsid w:val="2B202C91"/>
    <w:rsid w:val="2C434B74"/>
    <w:rsid w:val="2CCB451E"/>
    <w:rsid w:val="2D7D23EE"/>
    <w:rsid w:val="2DF60F5E"/>
    <w:rsid w:val="2F257DA7"/>
    <w:rsid w:val="2F5E036B"/>
    <w:rsid w:val="2F80457E"/>
    <w:rsid w:val="32203C0E"/>
    <w:rsid w:val="349E5471"/>
    <w:rsid w:val="38474F05"/>
    <w:rsid w:val="38D526E1"/>
    <w:rsid w:val="394B75AF"/>
    <w:rsid w:val="3C2B5111"/>
    <w:rsid w:val="3D626373"/>
    <w:rsid w:val="3DA7680A"/>
    <w:rsid w:val="442903CC"/>
    <w:rsid w:val="455467A5"/>
    <w:rsid w:val="461E3079"/>
    <w:rsid w:val="46A139FD"/>
    <w:rsid w:val="47877BAA"/>
    <w:rsid w:val="481007AD"/>
    <w:rsid w:val="49E17296"/>
    <w:rsid w:val="4AC86916"/>
    <w:rsid w:val="4D8E366A"/>
    <w:rsid w:val="4DD454D1"/>
    <w:rsid w:val="4E8C54B1"/>
    <w:rsid w:val="4EC10F8B"/>
    <w:rsid w:val="4EDA651C"/>
    <w:rsid w:val="4FDE15A9"/>
    <w:rsid w:val="503C735D"/>
    <w:rsid w:val="51051655"/>
    <w:rsid w:val="51277097"/>
    <w:rsid w:val="51983E64"/>
    <w:rsid w:val="52816664"/>
    <w:rsid w:val="52A05BEE"/>
    <w:rsid w:val="52A13E2E"/>
    <w:rsid w:val="54394300"/>
    <w:rsid w:val="54D97240"/>
    <w:rsid w:val="58346B6C"/>
    <w:rsid w:val="59017396"/>
    <w:rsid w:val="5C126BAF"/>
    <w:rsid w:val="63B25E95"/>
    <w:rsid w:val="63C062BB"/>
    <w:rsid w:val="63D74F7B"/>
    <w:rsid w:val="64BE1FE7"/>
    <w:rsid w:val="6604073B"/>
    <w:rsid w:val="66102866"/>
    <w:rsid w:val="66D31996"/>
    <w:rsid w:val="688F3EA6"/>
    <w:rsid w:val="69887333"/>
    <w:rsid w:val="6A454942"/>
    <w:rsid w:val="6B652674"/>
    <w:rsid w:val="6B8D689A"/>
    <w:rsid w:val="6C445178"/>
    <w:rsid w:val="6C97174C"/>
    <w:rsid w:val="6CFB554B"/>
    <w:rsid w:val="6E34121C"/>
    <w:rsid w:val="6E5F098F"/>
    <w:rsid w:val="6EFE6B64"/>
    <w:rsid w:val="6FF941E7"/>
    <w:rsid w:val="70B2124A"/>
    <w:rsid w:val="735E1713"/>
    <w:rsid w:val="75881A8D"/>
    <w:rsid w:val="782E6441"/>
    <w:rsid w:val="78C338C8"/>
    <w:rsid w:val="7C0B180E"/>
    <w:rsid w:val="7D3B1B2A"/>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next w:val="8"/>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customStyle="1" w:styleId="8">
    <w:name w:val="1"/>
    <w:basedOn w:val="1"/>
    <w:next w:val="9"/>
    <w:autoRedefine/>
    <w:qFormat/>
    <w:uiPriority w:val="0"/>
    <w:pPr>
      <w:widowControl w:val="0"/>
      <w:jc w:val="both"/>
    </w:pPr>
    <w:rPr>
      <w:rFonts w:ascii="宋体" w:hAnsi="Courier New"/>
      <w:kern w:val="2"/>
    </w:rPr>
  </w:style>
  <w:style w:type="paragraph" w:styleId="9">
    <w:name w:val="Body Text Indent"/>
    <w:basedOn w:val="1"/>
    <w:next w:val="10"/>
    <w:autoRedefine/>
    <w:qFormat/>
    <w:uiPriority w:val="0"/>
    <w:pPr>
      <w:spacing w:after="120" w:afterLines="0"/>
      <w:ind w:left="420" w:leftChars="200"/>
    </w:pPr>
  </w:style>
  <w:style w:type="paragraph" w:customStyle="1" w:styleId="10">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link w:val="24"/>
    <w:autoRedefine/>
    <w:qFormat/>
    <w:uiPriority w:val="0"/>
    <w:pPr>
      <w:tabs>
        <w:tab w:val="center" w:pos="4513"/>
        <w:tab w:val="right" w:pos="9026"/>
      </w:tabs>
      <w:snapToGrid w:val="0"/>
      <w:jc w:val="left"/>
    </w:pPr>
    <w:rPr>
      <w:sz w:val="18"/>
      <w:szCs w:val="18"/>
    </w:rPr>
  </w:style>
  <w:style w:type="paragraph" w:styleId="13">
    <w:name w:val="header"/>
    <w:basedOn w:val="1"/>
    <w:link w:val="23"/>
    <w:autoRedefine/>
    <w:qFormat/>
    <w:uiPriority w:val="0"/>
    <w:pPr>
      <w:tabs>
        <w:tab w:val="center" w:pos="4513"/>
        <w:tab w:val="right" w:pos="9026"/>
      </w:tabs>
      <w:snapToGrid w:val="0"/>
      <w:jc w:val="center"/>
    </w:pPr>
    <w:rPr>
      <w:sz w:val="18"/>
      <w:szCs w:val="18"/>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5">
    <w:name w:val="Title"/>
    <w:basedOn w:val="1"/>
    <w:autoRedefine/>
    <w:qFormat/>
    <w:uiPriority w:val="0"/>
    <w:pPr>
      <w:spacing w:before="240" w:after="60"/>
      <w:jc w:val="center"/>
      <w:outlineLvl w:val="0"/>
    </w:pPr>
    <w:rPr>
      <w:rFonts w:ascii="Arial" w:hAnsi="Arial" w:cs="Times New Roman"/>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8"/>
    <w:link w:val="13"/>
    <w:autoRedefine/>
    <w:qFormat/>
    <w:uiPriority w:val="0"/>
    <w:rPr>
      <w:rFonts w:ascii="Calibri" w:hAnsi="Calibri" w:eastAsia="宋体" w:cs="Times New Roman"/>
      <w:kern w:val="2"/>
      <w:sz w:val="18"/>
      <w:szCs w:val="18"/>
    </w:rPr>
  </w:style>
  <w:style w:type="character" w:customStyle="1" w:styleId="24">
    <w:name w:val="页脚 字符"/>
    <w:basedOn w:val="18"/>
    <w:link w:val="12"/>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8"/>
    <w:link w:val="3"/>
    <w:autoRedefine/>
    <w:qFormat/>
    <w:uiPriority w:val="9"/>
    <w:rPr>
      <w:rFonts w:ascii="Arial" w:hAnsi="Arial" w:eastAsia="黑体"/>
      <w:b/>
      <w:bCs/>
      <w:sz w:val="32"/>
      <w:szCs w:val="32"/>
    </w:rPr>
  </w:style>
  <w:style w:type="paragraph" w:customStyle="1" w:styleId="34">
    <w:name w:val="p15"/>
    <w:basedOn w:val="1"/>
    <w:qFormat/>
    <w:uiPriority w:val="0"/>
    <w:pPr>
      <w:adjustRightInd w:val="0"/>
    </w:pPr>
    <w:rPr>
      <w:rFonts w:ascii="Arial Unicode MS" w:hAnsi="Arial Unicode MS" w:cs="宋体"/>
      <w:color w:val="000000"/>
      <w:szCs w:val="24"/>
    </w:rPr>
  </w:style>
  <w:style w:type="character" w:customStyle="1" w:styleId="35">
    <w:name w:val="NormalCharacter"/>
    <w:qFormat/>
    <w:uiPriority w:val="0"/>
    <w:rPr>
      <w:rFonts w:ascii="Times New Roman" w:hAnsi="Times New Roman" w:eastAsia="宋体" w:cs="Times New Roman"/>
    </w:rPr>
  </w:style>
  <w:style w:type="paragraph" w:customStyle="1" w:styleId="3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Table Paragraph"/>
    <w:basedOn w:val="1"/>
    <w:autoRedefine/>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2245</Words>
  <Characters>2301</Characters>
  <Lines>8</Lines>
  <Paragraphs>2</Paragraphs>
  <TotalTime>0</TotalTime>
  <ScaleCrop>false</ScaleCrop>
  <LinksUpToDate>false</LinksUpToDate>
  <CharactersWithSpaces>2396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2025-11-03T02:50:27Z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7DC463F57E43441AA81829AE3CFEBFEB_13</vt:lpwstr>
  </property>
  <property fmtid="{D5CDD505-2E9C-101B-9397-08002B2CF9AE}" pid="4" name="KSOTemplateDocerSaveRecord">
    <vt:lpwstr>eyJoZGlkIjoiZTYyMDczZGRhZjNiZjg5MTJhMWY4ZmJkZjE0ODlhZjQiLCJ1c2VySWQiOiIyNzE2NTk1MjcifQ==</vt:lpwstr>
  </property>
</Properties>
</file>