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泌尿外科结石分析仪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20万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20万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泌尿外科结石分析仪，评分方法见附件1、详细参数要求见附件2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1797212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p w14:paraId="602DD5C4">
      <w:pPr>
        <w:pStyle w:val="9"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技术参数（需提供技术参数偏离表）</w:t>
      </w:r>
      <w:bookmarkStart w:id="0" w:name="_GoBack"/>
      <w:bookmarkEnd w:id="0"/>
    </w:p>
    <w:p w14:paraId="2A4E1322">
      <w:pPr>
        <w:pStyle w:val="34"/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一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总体要求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设备用途：对人体结石进行成分分析。 </w:t>
      </w:r>
    </w:p>
    <w:p w14:paraId="6B8D9A60">
      <w:pPr>
        <w:pStyle w:val="34"/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功能要求：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、具备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人体结石成分分析、泌尿系结石和胆结石自动定性分析、泌尿系结石白动定量分析。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根据结石成分自动提供相应的预防措施。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根据结石成分自动提供相应的药物治疗方案建议（仅供使用者参考）（提供相关证明文件）。 </w:t>
      </w:r>
    </w:p>
    <w:p w14:paraId="3C255F08">
      <w:pPr>
        <w:pStyle w:val="34"/>
        <w:numPr>
          <w:ilvl w:val="0"/>
          <w:numId w:val="1"/>
        </w:numPr>
        <w:spacing w:line="360" w:lineRule="auto"/>
        <w:ind w:left="480" w:hanging="560" w:hanging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分析软件系统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具备泌尿结石的定性操作模块。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具备泌尿结石的定量操作模块。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 xml:space="preserve">具备胆结石的定性操作模块。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uk-UA"/>
        </w:rPr>
        <w:t>分析软件具备对不合格谱图不给分析并进行相应提示功能，能避免对问题图谱进行错误解析（提供实际设备操作软件图）。</w:t>
      </w:r>
    </w:p>
    <w:p w14:paraId="03EC6C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9B81D"/>
    <w:multiLevelType w:val="singleLevel"/>
    <w:tmpl w:val="0AC9B8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2FC0CC4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F941E7"/>
    <w:rsid w:val="70B2124A"/>
    <w:rsid w:val="735E1713"/>
    <w:rsid w:val="782E6441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962</Words>
  <Characters>1013</Characters>
  <Lines>8</Lines>
  <Paragraphs>2</Paragraphs>
  <TotalTime>0</TotalTime>
  <ScaleCrop>false</ScaleCrop>
  <LinksUpToDate>false</LinksUpToDate>
  <CharactersWithSpaces>1111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2025-11-03T02:27:21Z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