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521"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spacing w:line="360" w:lineRule="auto"/>
              <w:ind w:firstLine="480" w:firstLineChars="200"/>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项目名称：贵州航天医院呼吸综合楼负一楼磁共振区域和智慧后勤管理中心办公场所建设项目</w:t>
            </w:r>
          </w:p>
        </w:tc>
      </w:tr>
      <w:tr w14:paraId="4746C0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9619D9C">
            <w:pPr>
              <w:widowControl/>
              <w:jc w:val="left"/>
              <w:textAlignment w:val="center"/>
              <w:rPr>
                <w:rFonts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采购方式：竞争性磋商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13588DEB">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48.47万元</w:t>
            </w:r>
          </w:p>
        </w:tc>
      </w:tr>
      <w:tr w14:paraId="02D50DE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ADB5180">
            <w:pPr>
              <w:widowControl/>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48.47万元</w:t>
            </w:r>
          </w:p>
        </w:tc>
      </w:tr>
      <w:tr w14:paraId="07E585D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320AE93">
            <w:pPr>
              <w:widowControl/>
              <w:ind w:firstLine="480" w:firstLineChars="200"/>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采购需求：磁共振区域和智慧后勤管理中心办公场所建设</w:t>
            </w:r>
            <w:r>
              <w:rPr>
                <w:rFonts w:hint="eastAsia" w:ascii="FangSong_GB2312" w:hAnsi="FangSong_GB2312" w:eastAsia="FangSong_GB2312" w:cs="FangSong_GB2312"/>
                <w:color w:val="000000"/>
                <w:kern w:val="0"/>
                <w:sz w:val="24"/>
                <w:lang w:val="en-US" w:eastAsia="zh-CN" w:bidi="ar"/>
              </w:rPr>
              <w:t>工程，评分方法见附件1、项目要求见附件2</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3个工作日内</w:t>
            </w:r>
            <w:r>
              <w:rPr>
                <w:rFonts w:hint="eastAsia" w:ascii="FangSong_GB2312" w:hAnsi="FangSong_GB2312" w:eastAsia="FangSong_GB2312" w:cs="FangSong_GB2312"/>
                <w:color w:val="000000"/>
                <w:kern w:val="0"/>
                <w:sz w:val="24"/>
                <w:lang w:bidi="ar"/>
              </w:rPr>
              <w:t>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1AC18CD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6BB9170">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具有独立法人资格，持有合法有效的企业法人营业执照</w:t>
            </w:r>
          </w:p>
        </w:tc>
      </w:tr>
      <w:tr w14:paraId="4F04274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B25D651">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具备建设行政主管部门颁发的建筑工程施工总承包叁级及以上资质及建设行政主管部门颁发的安全生产许可证且在有效期内</w:t>
            </w:r>
          </w:p>
        </w:tc>
      </w:tr>
      <w:tr w14:paraId="159402DD">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F6F39C7">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val="en-US" w:eastAsia="zh-CN" w:bidi="ar"/>
              </w:rPr>
              <w:t>本项目采用EPC模式设计+施工一体化进行，要求施工单位能按相关行业标准、设计规范及医院要求完成方案及施工图设计</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w:t>
            </w:r>
            <w:r>
              <w:rPr>
                <w:rFonts w:hint="eastAsia" w:ascii="FangSong_GB2312" w:hAnsi="FangSong_GB2312" w:eastAsia="FangSong_GB2312" w:cs="FangSong_GB2312"/>
                <w:color w:val="000000"/>
                <w:kern w:val="0"/>
                <w:sz w:val="24"/>
                <w:lang w:val="en-US" w:eastAsia="zh-CN" w:bidi="ar"/>
              </w:rPr>
              <w:t xml:space="preserve">  </w:t>
            </w:r>
            <w:r>
              <w:rPr>
                <w:rFonts w:hint="eastAsia" w:ascii="FangSong_GB2312" w:hAnsi="FangSong_GB2312" w:eastAsia="FangSong_GB2312" w:cs="FangSong_GB2312"/>
                <w:color w:val="000000"/>
                <w:kern w:val="0"/>
                <w:sz w:val="24"/>
                <w:lang w:bidi="ar"/>
              </w:rPr>
              <w:t xml:space="preserve">项目经理证书及社保证明  </w:t>
            </w:r>
          </w:p>
        </w:tc>
      </w:tr>
      <w:tr w14:paraId="2846FAC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E8F3B1">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具有良好的商业信誉和健全的财务制度，具体要求（如</w:t>
            </w:r>
            <w:r>
              <w:rPr>
                <w:rFonts w:hint="eastAsia" w:ascii="FangSong_GB2312" w:hAnsi="FangSong_GB2312" w:eastAsia="FangSong_GB2312" w:cs="FangSong_GB2312"/>
                <w:color w:val="000000"/>
                <w:kern w:val="0"/>
                <w:sz w:val="24"/>
                <w:lang w:val="en-US" w:eastAsia="zh-CN" w:bidi="ar"/>
              </w:rPr>
              <w:t>近两年</w:t>
            </w:r>
            <w:r>
              <w:rPr>
                <w:rFonts w:hint="eastAsia" w:ascii="FangSong_GB2312" w:hAnsi="FangSong_GB2312" w:eastAsia="FangSong_GB2312" w:cs="FangSong_GB2312"/>
                <w:color w:val="000000"/>
                <w:kern w:val="0"/>
                <w:sz w:val="24"/>
                <w:lang w:bidi="ar"/>
              </w:rPr>
              <w:t>财务报表等）</w:t>
            </w:r>
          </w:p>
        </w:tc>
      </w:tr>
      <w:tr w14:paraId="355B248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E8927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具有履行合同所必须的设备和专业技术能力（资料或承诺）</w:t>
            </w:r>
          </w:p>
        </w:tc>
      </w:tr>
      <w:tr w14:paraId="34FBCFF4">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73C0C5B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具有依法缴纳税收和社会保障金的良好记录</w:t>
            </w:r>
          </w:p>
        </w:tc>
      </w:tr>
      <w:tr w14:paraId="477D5069">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6E680F1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参加政府采购活动前三年内，在经营活动中没有重大违法记录（书面证明）</w:t>
            </w:r>
          </w:p>
        </w:tc>
      </w:tr>
      <w:tr w14:paraId="1E3B8757">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264BD93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不是失信被执行人、重大税收违法案件当事人、政府采购严重违法失信行为人等的承诺或资料</w:t>
            </w:r>
          </w:p>
        </w:tc>
      </w:tr>
      <w:tr w14:paraId="4493161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A0933E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是否接受联合体投标：否</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536"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C07F18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bidi="ar"/>
              </w:rPr>
              <w:t>医学装备部</w:t>
            </w:r>
            <w:r>
              <w:rPr>
                <w:rFonts w:hint="eastAsia" w:ascii="FangSong_GB2312" w:hAnsi="FangSong_GB2312" w:eastAsia="FangSong_GB2312" w:cs="FangSong_GB2312"/>
                <w:color w:val="000000"/>
                <w:kern w:val="0"/>
                <w:sz w:val="24"/>
                <w:lang w:val="en-US" w:eastAsia="zh-CN" w:bidi="ar"/>
              </w:rPr>
              <w:t>赵老师</w:t>
            </w:r>
            <w:r>
              <w:rPr>
                <w:rFonts w:hint="eastAsia" w:ascii="FangSong_GB2312" w:hAnsi="FangSong_GB2312" w:eastAsia="FangSong_GB2312" w:cs="FangSong_GB2312"/>
                <w:color w:val="000000"/>
                <w:kern w:val="0"/>
                <w:sz w:val="24"/>
                <w:lang w:bidi="ar"/>
              </w:rPr>
              <w:t>收</w:t>
            </w:r>
          </w:p>
        </w:tc>
      </w:tr>
      <w:tr w14:paraId="5AA8DD6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CF2E34E">
            <w:pPr>
              <w:widowControl/>
              <w:jc w:val="left"/>
              <w:textAlignment w:val="center"/>
              <w:rPr>
                <w:rFonts w:hint="default" w:ascii="FangSong_GB2312" w:hAnsi="FangSong_GB2312" w:eastAsia="FangSong_GB2312" w:cs="FangSong_GB2312"/>
                <w:color w:val="000000"/>
                <w:sz w:val="24"/>
                <w:lang w:val="en-US" w:eastAsia="zh-CN"/>
              </w:rPr>
            </w:pPr>
            <w:r>
              <w:rPr>
                <w:rFonts w:hint="eastAsia" w:ascii="FangSong_GB2312" w:hAnsi="FangSong_GB2312" w:eastAsia="FangSong_GB2312" w:cs="FangSong_GB2312"/>
                <w:color w:val="000000"/>
                <w:kern w:val="0"/>
                <w:sz w:val="24"/>
                <w:lang w:bidi="ar"/>
              </w:rPr>
              <w:t xml:space="preserve">    开启：（是否见面、纸质或电子）</w:t>
            </w:r>
            <w:r>
              <w:rPr>
                <w:rFonts w:hint="eastAsia" w:ascii="FangSong_GB2312" w:hAnsi="FangSong_GB2312" w:eastAsia="FangSong_GB2312" w:cs="FangSong_GB2312"/>
                <w:color w:val="000000"/>
                <w:kern w:val="0"/>
                <w:sz w:val="24"/>
                <w:lang w:eastAsia="zh-CN" w:bidi="ar"/>
              </w:rPr>
              <w:t>纸质版密封，</w:t>
            </w:r>
            <w:r>
              <w:rPr>
                <w:rFonts w:hint="eastAsia" w:ascii="FangSong_GB2312" w:hAnsi="FangSong_GB2312" w:eastAsia="FangSong_GB2312" w:cs="FangSong_GB2312"/>
                <w:color w:val="000000"/>
                <w:kern w:val="0"/>
                <w:sz w:val="24"/>
                <w:lang w:val="en-US" w:eastAsia="zh-CN" w:bidi="ar"/>
              </w:rPr>
              <w:t>含目录和页码</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w:t>
            </w:r>
            <w:r>
              <w:rPr>
                <w:rFonts w:hint="eastAsia" w:ascii="FangSong_GB2312" w:hAnsi="FangSong_GB2312" w:eastAsia="FangSong_GB2312" w:cs="FangSong_GB2312"/>
                <w:color w:val="000000"/>
                <w:kern w:val="0"/>
                <w:sz w:val="24"/>
                <w:lang w:eastAsia="zh-CN" w:bidi="ar"/>
              </w:rPr>
              <w:t>陈</w:t>
            </w:r>
            <w:r>
              <w:rPr>
                <w:rFonts w:hint="eastAsia" w:ascii="FangSong_GB2312" w:hAnsi="FangSong_GB2312" w:eastAsia="FangSong_GB2312" w:cs="FangSong_GB2312"/>
                <w:color w:val="000000"/>
                <w:kern w:val="0"/>
                <w:sz w:val="24"/>
                <w:lang w:val="en-US" w:eastAsia="zh-CN" w:bidi="ar"/>
              </w:rPr>
              <w:t>老师</w:t>
            </w:r>
            <w:r>
              <w:rPr>
                <w:rFonts w:hint="eastAsia" w:ascii="FangSong_GB2312" w:hAnsi="FangSong_GB2312" w:eastAsia="FangSong_GB2312" w:cs="FangSong_GB2312"/>
                <w:color w:val="000000"/>
                <w:kern w:val="0"/>
                <w:sz w:val="24"/>
                <w:lang w:bidi="ar"/>
              </w:rPr>
              <w:t>，联系电话：0851-</w:t>
            </w:r>
            <w:r>
              <w:rPr>
                <w:rFonts w:hint="eastAsia" w:asciiTheme="minorEastAsia" w:hAnsiTheme="minorEastAsia" w:eastAsiaTheme="minorEastAsia" w:cstheme="minorEastAsia"/>
                <w:color w:val="000000"/>
                <w:kern w:val="0"/>
                <w:sz w:val="24"/>
                <w:lang w:bidi="ar"/>
              </w:rPr>
              <w:t>27677989</w:t>
            </w:r>
          </w:p>
        </w:tc>
      </w:tr>
    </w:tbl>
    <w:p w14:paraId="7D95A85F">
      <w:pPr>
        <w:jc w:val="left"/>
        <w:rPr>
          <w:rFonts w:hint="default"/>
          <w:b/>
          <w:bCs/>
          <w:sz w:val="30"/>
          <w:szCs w:val="30"/>
          <w:lang w:val="en-US" w:eastAsia="zh-CN"/>
        </w:rPr>
      </w:pPr>
      <w:r>
        <w:rPr>
          <w:rFonts w:hint="eastAsia"/>
          <w:b/>
          <w:bCs/>
          <w:sz w:val="30"/>
          <w:szCs w:val="30"/>
          <w:lang w:val="en-US" w:eastAsia="zh-CN"/>
        </w:rPr>
        <w:t>附件1：评分方法</w:t>
      </w:r>
    </w:p>
    <w:tbl>
      <w:tblPr>
        <w:tblStyle w:val="14"/>
        <w:tblpPr w:leftFromText="180" w:rightFromText="180" w:vertAnchor="page" w:horzAnchor="page" w:tblpXSpec="center" w:tblpY="2098"/>
        <w:tblOverlap w:val="never"/>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550"/>
        <w:gridCol w:w="1560"/>
        <w:gridCol w:w="1695"/>
        <w:gridCol w:w="1785"/>
        <w:gridCol w:w="1626"/>
      </w:tblGrid>
      <w:tr w14:paraId="60D3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3570" w:type="dxa"/>
            <w:gridSpan w:val="2"/>
            <w:tcBorders>
              <w:top w:val="single" w:color="DA554F" w:sz="12" w:space="0"/>
              <w:left w:val="single" w:color="DA554F" w:sz="12" w:space="0"/>
              <w:bottom w:val="single" w:color="E68F8A" w:sz="4" w:space="0"/>
              <w:right w:val="single" w:color="E68F8A" w:sz="4" w:space="0"/>
              <w:tl2br w:val="single" w:color="000000" w:sz="4" w:space="0"/>
            </w:tcBorders>
            <w:shd w:val="clear" w:color="auto" w:fill="F1CAC2"/>
          </w:tcPr>
          <w:p w14:paraId="6A38E5C2">
            <w:pPr>
              <w:spacing w:line="260" w:lineRule="exact"/>
              <w:ind w:firstLine="1440" w:firstLineChars="600"/>
              <w:rPr>
                <w:rFonts w:ascii="仿宋_GB2312" w:hAnsi="仿宋_GB2312" w:eastAsia="仿宋_GB2312" w:cs="仿宋_GB2312"/>
                <w:sz w:val="24"/>
              </w:rPr>
            </w:pPr>
            <w:r>
              <w:rPr>
                <w:rFonts w:hint="eastAsia" w:ascii="仿宋_GB2312" w:hAnsi="仿宋_GB2312" w:eastAsia="仿宋_GB2312" w:cs="仿宋_GB2312"/>
                <w:sz w:val="24"/>
              </w:rPr>
              <w:t>投标单位</w:t>
            </w:r>
          </w:p>
          <w:p w14:paraId="0E01F889">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分值</w:t>
            </w:r>
          </w:p>
        </w:tc>
        <w:tc>
          <w:tcPr>
            <w:tcW w:w="1560" w:type="dxa"/>
            <w:tcBorders>
              <w:top w:val="single" w:color="DA554F" w:sz="12" w:space="0"/>
              <w:left w:val="single" w:color="E68F8A" w:sz="4" w:space="0"/>
              <w:bottom w:val="single" w:color="E68F8A" w:sz="4" w:space="0"/>
              <w:right w:val="single" w:color="E68F8A" w:sz="4" w:space="0"/>
            </w:tcBorders>
            <w:shd w:val="clear" w:color="auto" w:fill="auto"/>
            <w:vAlign w:val="center"/>
          </w:tcPr>
          <w:p w14:paraId="58B9233C">
            <w:pPr>
              <w:spacing w:line="260" w:lineRule="exact"/>
              <w:rPr>
                <w:rFonts w:ascii="仿宋_GB2312" w:hAnsi="仿宋_GB2312" w:eastAsia="仿宋_GB2312" w:cs="仿宋_GB2312"/>
                <w:szCs w:val="21"/>
              </w:rPr>
            </w:pPr>
          </w:p>
        </w:tc>
        <w:tc>
          <w:tcPr>
            <w:tcW w:w="1695" w:type="dxa"/>
            <w:tcBorders>
              <w:top w:val="single" w:color="DA554F" w:sz="12" w:space="0"/>
              <w:left w:val="single" w:color="E68F8A" w:sz="4" w:space="0"/>
              <w:bottom w:val="single" w:color="E68F8A" w:sz="4" w:space="0"/>
              <w:right w:val="single" w:color="E68F8A" w:sz="4" w:space="0"/>
            </w:tcBorders>
            <w:shd w:val="clear" w:color="auto" w:fill="F1CAC2"/>
            <w:vAlign w:val="center"/>
          </w:tcPr>
          <w:p w14:paraId="51D65E01">
            <w:pPr>
              <w:spacing w:line="260" w:lineRule="exact"/>
              <w:rPr>
                <w:rFonts w:ascii="仿宋_GB2312" w:hAnsi="仿宋_GB2312" w:eastAsia="仿宋_GB2312" w:cs="仿宋_GB2312"/>
                <w:szCs w:val="21"/>
              </w:rPr>
            </w:pPr>
          </w:p>
        </w:tc>
        <w:tc>
          <w:tcPr>
            <w:tcW w:w="1785" w:type="dxa"/>
            <w:tcBorders>
              <w:top w:val="single" w:color="DA554F" w:sz="12" w:space="0"/>
              <w:left w:val="single" w:color="E68F8A" w:sz="4" w:space="0"/>
              <w:bottom w:val="single" w:color="E68F8A" w:sz="4" w:space="0"/>
              <w:right w:val="single" w:color="DA554F" w:sz="4" w:space="0"/>
            </w:tcBorders>
            <w:shd w:val="clear" w:color="auto" w:fill="auto"/>
            <w:vAlign w:val="center"/>
          </w:tcPr>
          <w:p w14:paraId="70C021D3">
            <w:pPr>
              <w:spacing w:line="260" w:lineRule="exact"/>
              <w:rPr>
                <w:rFonts w:ascii="仿宋_GB2312" w:hAnsi="仿宋_GB2312" w:eastAsia="仿宋_GB2312" w:cs="仿宋_GB2312"/>
                <w:szCs w:val="21"/>
              </w:rPr>
            </w:pPr>
          </w:p>
        </w:tc>
        <w:tc>
          <w:tcPr>
            <w:tcW w:w="1626" w:type="dxa"/>
            <w:tcBorders>
              <w:top w:val="single" w:color="DA554F" w:sz="12" w:space="0"/>
              <w:left w:val="single" w:color="E68F8A" w:sz="4" w:space="0"/>
              <w:bottom w:val="single" w:color="E68F8A" w:sz="4" w:space="0"/>
              <w:right w:val="single" w:color="DA554F" w:sz="4" w:space="0"/>
            </w:tcBorders>
            <w:shd w:val="clear" w:color="auto" w:fill="F1CAC2"/>
          </w:tcPr>
          <w:p w14:paraId="2110A842">
            <w:pPr>
              <w:spacing w:line="260" w:lineRule="exact"/>
              <w:rPr>
                <w:rFonts w:ascii="仿宋_GB2312" w:hAnsi="仿宋_GB2312" w:eastAsia="仿宋_GB2312" w:cs="仿宋_GB2312"/>
                <w:szCs w:val="21"/>
              </w:rPr>
            </w:pPr>
          </w:p>
        </w:tc>
      </w:tr>
      <w:tr w14:paraId="1486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3570" w:type="dxa"/>
            <w:gridSpan w:val="2"/>
            <w:tcBorders>
              <w:top w:val="single" w:color="E68F8A" w:sz="12" w:space="0"/>
              <w:left w:val="single" w:color="DA554F" w:sz="12" w:space="0"/>
              <w:bottom w:val="single" w:color="E68F8A" w:sz="4" w:space="0"/>
              <w:right w:val="single" w:color="E68F8A" w:sz="4" w:space="0"/>
            </w:tcBorders>
            <w:shd w:val="clear" w:color="auto" w:fill="FDF7F6"/>
          </w:tcPr>
          <w:p w14:paraId="59725767">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1560" w:type="dxa"/>
            <w:tcBorders>
              <w:top w:val="single" w:color="E68F8A" w:sz="12" w:space="0"/>
              <w:left w:val="single" w:color="E68F8A" w:sz="4" w:space="0"/>
              <w:bottom w:val="single" w:color="E68F8A" w:sz="4" w:space="0"/>
              <w:right w:val="single" w:color="E68F8A" w:sz="4" w:space="0"/>
            </w:tcBorders>
            <w:shd w:val="clear" w:color="auto" w:fill="auto"/>
            <w:vAlign w:val="center"/>
          </w:tcPr>
          <w:p w14:paraId="422EAF10">
            <w:pPr>
              <w:spacing w:line="260" w:lineRule="exact"/>
              <w:rPr>
                <w:rFonts w:ascii="仿宋_GB2312" w:hAnsi="仿宋_GB2312" w:eastAsia="仿宋_GB2312" w:cs="仿宋_GB2312"/>
                <w:sz w:val="24"/>
              </w:rPr>
            </w:pPr>
          </w:p>
        </w:tc>
        <w:tc>
          <w:tcPr>
            <w:tcW w:w="1695" w:type="dxa"/>
            <w:tcBorders>
              <w:top w:val="single" w:color="E68F8A" w:sz="12" w:space="0"/>
              <w:left w:val="single" w:color="E68F8A" w:sz="4" w:space="0"/>
              <w:bottom w:val="single" w:color="E68F8A" w:sz="4" w:space="0"/>
              <w:right w:val="single" w:color="E68F8A" w:sz="4" w:space="0"/>
            </w:tcBorders>
            <w:shd w:val="clear" w:color="auto" w:fill="F1CAC2"/>
            <w:vAlign w:val="center"/>
          </w:tcPr>
          <w:p w14:paraId="31B6B97C">
            <w:pPr>
              <w:spacing w:line="260" w:lineRule="exact"/>
              <w:rPr>
                <w:rFonts w:ascii="仿宋_GB2312" w:hAnsi="仿宋_GB2312" w:eastAsia="仿宋_GB2312" w:cs="仿宋_GB2312"/>
                <w:sz w:val="24"/>
              </w:rPr>
            </w:pPr>
          </w:p>
        </w:tc>
        <w:tc>
          <w:tcPr>
            <w:tcW w:w="1785" w:type="dxa"/>
            <w:tcBorders>
              <w:top w:val="single" w:color="E68F8A" w:sz="12" w:space="0"/>
              <w:left w:val="single" w:color="E68F8A" w:sz="4" w:space="0"/>
              <w:bottom w:val="single" w:color="E68F8A" w:sz="4" w:space="0"/>
              <w:right w:val="single" w:color="DA554F" w:sz="4" w:space="0"/>
            </w:tcBorders>
            <w:shd w:val="clear" w:color="auto" w:fill="auto"/>
            <w:vAlign w:val="center"/>
          </w:tcPr>
          <w:p w14:paraId="105C37F7">
            <w:pPr>
              <w:spacing w:line="260" w:lineRule="exact"/>
              <w:rPr>
                <w:rFonts w:ascii="仿宋_GB2312" w:hAnsi="仿宋_GB2312" w:eastAsia="仿宋_GB2312" w:cs="仿宋_GB2312"/>
                <w:sz w:val="24"/>
              </w:rPr>
            </w:pPr>
          </w:p>
        </w:tc>
        <w:tc>
          <w:tcPr>
            <w:tcW w:w="1626" w:type="dxa"/>
            <w:tcBorders>
              <w:top w:val="single" w:color="E68F8A" w:sz="12" w:space="0"/>
              <w:left w:val="single" w:color="E68F8A" w:sz="4" w:space="0"/>
              <w:bottom w:val="single" w:color="E68F8A" w:sz="4" w:space="0"/>
              <w:right w:val="single" w:color="DA554F" w:sz="4" w:space="0"/>
            </w:tcBorders>
            <w:shd w:val="clear" w:color="auto" w:fill="F1CAC2"/>
          </w:tcPr>
          <w:p w14:paraId="49679D2B">
            <w:pPr>
              <w:spacing w:line="260" w:lineRule="exact"/>
              <w:rPr>
                <w:rFonts w:ascii="仿宋_GB2312" w:hAnsi="仿宋_GB2312" w:eastAsia="仿宋_GB2312" w:cs="仿宋_GB2312"/>
                <w:sz w:val="24"/>
              </w:rPr>
            </w:pPr>
          </w:p>
        </w:tc>
      </w:tr>
      <w:tr w14:paraId="68F6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jc w:val="center"/>
        </w:trPr>
        <w:tc>
          <w:tcPr>
            <w:tcW w:w="1020" w:type="dxa"/>
            <w:tcBorders>
              <w:top w:val="single" w:color="E68F8A" w:sz="4" w:space="0"/>
              <w:left w:val="single" w:color="DA554F" w:sz="12" w:space="0"/>
              <w:bottom w:val="single" w:color="E68F8A" w:sz="4" w:space="0"/>
              <w:right w:val="single" w:color="E68F8A" w:sz="4" w:space="0"/>
            </w:tcBorders>
            <w:shd w:val="clear" w:color="auto" w:fill="FDF7F6"/>
            <w:vAlign w:val="center"/>
          </w:tcPr>
          <w:p w14:paraId="0DE58961">
            <w:pPr>
              <w:spacing w:line="260" w:lineRule="exact"/>
              <w:rPr>
                <w:rFonts w:hint="eastAsia" w:ascii="仿宋_GB2312" w:hAnsi="仿宋_GB2312" w:eastAsia="仿宋_GB2312" w:cs="仿宋_GB2312"/>
                <w:sz w:val="24"/>
              </w:rPr>
            </w:pPr>
            <w:r>
              <w:rPr>
                <w:rFonts w:hint="eastAsia" w:ascii="仿宋_GB2312" w:hAnsi="仿宋_GB2312" w:eastAsia="仿宋_GB2312" w:cs="仿宋_GB2312"/>
                <w:sz w:val="24"/>
              </w:rPr>
              <w:t>投标</w:t>
            </w:r>
          </w:p>
          <w:p w14:paraId="645842FD">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文件</w:t>
            </w:r>
          </w:p>
        </w:tc>
        <w:tc>
          <w:tcPr>
            <w:tcW w:w="2550" w:type="dxa"/>
            <w:tcBorders>
              <w:top w:val="single" w:color="E68F8A" w:sz="4" w:space="0"/>
              <w:left w:val="single" w:color="E68F8A" w:sz="4" w:space="0"/>
              <w:right w:val="single" w:color="E68F8A" w:sz="4" w:space="0"/>
            </w:tcBorders>
            <w:shd w:val="clear" w:color="auto" w:fill="F1CAC2"/>
            <w:vAlign w:val="center"/>
          </w:tcPr>
          <w:p w14:paraId="3D5A10CF">
            <w:pPr>
              <w:spacing w:line="260" w:lineRule="exact"/>
              <w:rPr>
                <w:rFonts w:ascii="仿宋_GB2312" w:hAnsi="仿宋_GB2312" w:eastAsia="仿宋_GB2312" w:cs="仿宋_GB2312"/>
                <w:szCs w:val="21"/>
              </w:rPr>
            </w:pPr>
            <w:r>
              <w:rPr>
                <w:rFonts w:hint="eastAsia" w:ascii="仿宋_GB2312" w:hAnsi="仿宋_GB2312" w:eastAsia="仿宋_GB2312" w:cs="仿宋_GB2312"/>
                <w:kern w:val="0"/>
                <w:szCs w:val="21"/>
                <w:shd w:val="clear" w:color="auto" w:fill="FFFFFF"/>
              </w:rPr>
              <w:t>有投标涵（格式自拟）、有效营业执照、资质证书</w:t>
            </w:r>
            <w:r>
              <w:rPr>
                <w:rFonts w:hint="eastAsia" w:ascii="仿宋_GB2312" w:hAnsi="Times New Roman" w:eastAsia="仿宋_GB2312"/>
                <w:szCs w:val="21"/>
              </w:rPr>
              <w:t>、安全生产许可证、承担本项目的项目经理二级建筑工程专业注册建造师证书</w:t>
            </w:r>
            <w:r>
              <w:rPr>
                <w:rFonts w:hint="eastAsia" w:ascii="仿宋_GB2312" w:hAnsi="仿宋_GB2312" w:eastAsia="仿宋_GB2312" w:cs="仿宋_GB2312"/>
                <w:kern w:val="0"/>
                <w:szCs w:val="21"/>
                <w:shd w:val="clear" w:color="auto" w:fill="FFFFFF"/>
              </w:rPr>
              <w:t>等5项内容。</w:t>
            </w:r>
            <w:r>
              <w:rPr>
                <w:rFonts w:hint="eastAsia" w:ascii="仿宋_GB2312" w:hAnsi="仿宋_GB2312" w:eastAsia="仿宋_GB2312" w:cs="仿宋_GB2312"/>
                <w:szCs w:val="21"/>
              </w:rPr>
              <w:t>（满分30分)缺一项扣6分</w:t>
            </w:r>
          </w:p>
        </w:tc>
        <w:tc>
          <w:tcPr>
            <w:tcW w:w="1560" w:type="dxa"/>
            <w:tcBorders>
              <w:top w:val="single" w:color="E68F8A" w:sz="4" w:space="0"/>
              <w:left w:val="single" w:color="E68F8A" w:sz="4" w:space="0"/>
              <w:right w:val="single" w:color="E68F8A" w:sz="4" w:space="0"/>
            </w:tcBorders>
            <w:shd w:val="clear" w:color="auto" w:fill="FDF7F6"/>
            <w:vAlign w:val="center"/>
          </w:tcPr>
          <w:p w14:paraId="5D5C0D4F">
            <w:pPr>
              <w:spacing w:line="260" w:lineRule="exact"/>
              <w:rPr>
                <w:rFonts w:ascii="仿宋_GB2312" w:hAnsi="仿宋_GB2312" w:eastAsia="仿宋_GB2312" w:cs="仿宋_GB2312"/>
                <w:sz w:val="24"/>
              </w:rPr>
            </w:pPr>
          </w:p>
        </w:tc>
        <w:tc>
          <w:tcPr>
            <w:tcW w:w="1695" w:type="dxa"/>
            <w:tcBorders>
              <w:top w:val="single" w:color="E68F8A" w:sz="4" w:space="0"/>
              <w:left w:val="single" w:color="E68F8A" w:sz="4" w:space="0"/>
              <w:right w:val="single" w:color="DA554F" w:sz="4" w:space="0"/>
            </w:tcBorders>
            <w:shd w:val="clear" w:color="auto" w:fill="F1CAC2"/>
            <w:vAlign w:val="center"/>
          </w:tcPr>
          <w:p w14:paraId="081918A9">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1785" w:type="dxa"/>
            <w:tcBorders>
              <w:top w:val="single" w:color="E68F8A" w:sz="4" w:space="0"/>
              <w:left w:val="single" w:color="DA554F" w:sz="4" w:space="0"/>
              <w:right w:val="single" w:color="E68F8A" w:sz="4" w:space="0"/>
            </w:tcBorders>
            <w:shd w:val="clear" w:color="auto" w:fill="FDF7F6"/>
            <w:vAlign w:val="center"/>
          </w:tcPr>
          <w:p w14:paraId="1F2645BC">
            <w:pPr>
              <w:spacing w:line="260" w:lineRule="exact"/>
              <w:rPr>
                <w:rFonts w:ascii="仿宋_GB2312" w:hAnsi="仿宋_GB2312" w:eastAsia="仿宋_GB2312" w:cs="仿宋_GB2312"/>
                <w:sz w:val="24"/>
              </w:rPr>
            </w:pPr>
          </w:p>
        </w:tc>
        <w:tc>
          <w:tcPr>
            <w:tcW w:w="1626" w:type="dxa"/>
            <w:tcBorders>
              <w:top w:val="single" w:color="E68F8A" w:sz="4" w:space="0"/>
              <w:left w:val="single" w:color="DA554F" w:sz="4" w:space="0"/>
              <w:bottom w:val="single" w:color="E68F8A" w:sz="4" w:space="0"/>
              <w:right w:val="single" w:color="E68F8A" w:sz="4" w:space="0"/>
            </w:tcBorders>
            <w:shd w:val="clear" w:color="auto" w:fill="F1CAC2"/>
          </w:tcPr>
          <w:p w14:paraId="419326DF">
            <w:pPr>
              <w:spacing w:line="260" w:lineRule="exact"/>
              <w:rPr>
                <w:rFonts w:ascii="仿宋_GB2312" w:hAnsi="仿宋_GB2312" w:eastAsia="仿宋_GB2312" w:cs="仿宋_GB2312"/>
                <w:sz w:val="24"/>
              </w:rPr>
            </w:pPr>
          </w:p>
        </w:tc>
      </w:tr>
      <w:tr w14:paraId="5B44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1020" w:type="dxa"/>
            <w:tcBorders>
              <w:top w:val="single" w:color="E68F8A" w:sz="4" w:space="0"/>
              <w:left w:val="single" w:color="DA554F" w:sz="12" w:space="0"/>
              <w:bottom w:val="single" w:color="E68F8A" w:sz="4" w:space="0"/>
              <w:right w:val="single" w:color="E68F8A" w:sz="4" w:space="0"/>
            </w:tcBorders>
            <w:shd w:val="clear" w:color="auto" w:fill="FDF7F6"/>
            <w:vAlign w:val="center"/>
          </w:tcPr>
          <w:p w14:paraId="0554151F">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质量</w:t>
            </w:r>
          </w:p>
          <w:p w14:paraId="793D08DF">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要求</w:t>
            </w:r>
          </w:p>
        </w:tc>
        <w:tc>
          <w:tcPr>
            <w:tcW w:w="2550" w:type="dxa"/>
            <w:tcBorders>
              <w:top w:val="single" w:color="E68F8A" w:sz="4" w:space="0"/>
              <w:left w:val="single" w:color="E68F8A" w:sz="4" w:space="0"/>
              <w:bottom w:val="single" w:color="E68F8A" w:sz="4" w:space="0"/>
              <w:right w:val="single" w:color="E68F8A" w:sz="4" w:space="0"/>
            </w:tcBorders>
            <w:shd w:val="clear" w:color="auto" w:fill="F1CAC2"/>
            <w:vAlign w:val="center"/>
          </w:tcPr>
          <w:p w14:paraId="74CC08D8">
            <w:pPr>
              <w:spacing w:line="260" w:lineRule="exact"/>
              <w:rPr>
                <w:rFonts w:ascii="仿宋_GB2312" w:hAnsi="仿宋_GB2312" w:eastAsia="仿宋_GB2312" w:cs="仿宋_GB2312"/>
                <w:szCs w:val="21"/>
              </w:rPr>
            </w:pPr>
            <w:r>
              <w:rPr>
                <w:rFonts w:hint="eastAsia" w:ascii="仿宋_GB2312" w:hAnsi="仿宋_GB2312" w:eastAsia="仿宋_GB2312" w:cs="仿宋_GB2312"/>
                <w:kern w:val="0"/>
                <w:szCs w:val="21"/>
                <w:shd w:val="clear" w:color="auto" w:fill="FFFFFF"/>
              </w:rPr>
              <w:t>满足现行相关设计、施工及行业相关标准要求，有质量承诺。</w:t>
            </w:r>
            <w:r>
              <w:rPr>
                <w:rFonts w:hint="eastAsia" w:ascii="仿宋_GB2312" w:hAnsi="仿宋_GB2312" w:eastAsia="仿宋_GB2312" w:cs="仿宋_GB2312"/>
                <w:szCs w:val="21"/>
              </w:rPr>
              <w:t>满分5分，满足得5分，不满足得0分</w:t>
            </w:r>
          </w:p>
        </w:tc>
        <w:tc>
          <w:tcPr>
            <w:tcW w:w="1560" w:type="dxa"/>
            <w:tcBorders>
              <w:top w:val="single" w:color="E68F8A" w:sz="4" w:space="0"/>
              <w:left w:val="single" w:color="E68F8A" w:sz="4" w:space="0"/>
              <w:bottom w:val="single" w:color="E68F8A" w:sz="4" w:space="0"/>
              <w:right w:val="single" w:color="E68F8A" w:sz="4" w:space="0"/>
            </w:tcBorders>
            <w:shd w:val="clear" w:color="auto" w:fill="FDF7F6"/>
            <w:vAlign w:val="center"/>
          </w:tcPr>
          <w:p w14:paraId="79B1705F">
            <w:pPr>
              <w:spacing w:line="260" w:lineRule="exact"/>
              <w:rPr>
                <w:rFonts w:ascii="仿宋_GB2312" w:hAnsi="仿宋_GB2312" w:eastAsia="仿宋_GB2312" w:cs="仿宋_GB2312"/>
                <w:sz w:val="24"/>
              </w:rPr>
            </w:pPr>
          </w:p>
        </w:tc>
        <w:tc>
          <w:tcPr>
            <w:tcW w:w="1695" w:type="dxa"/>
            <w:tcBorders>
              <w:top w:val="single" w:color="E68F8A" w:sz="4" w:space="0"/>
              <w:left w:val="single" w:color="E68F8A" w:sz="4" w:space="0"/>
              <w:bottom w:val="single" w:color="E68F8A" w:sz="4" w:space="0"/>
              <w:right w:val="single" w:color="DA554F" w:sz="4" w:space="0"/>
            </w:tcBorders>
            <w:shd w:val="clear" w:color="auto" w:fill="F1CAC2"/>
            <w:vAlign w:val="center"/>
          </w:tcPr>
          <w:p w14:paraId="1AD40220">
            <w:pPr>
              <w:spacing w:line="260" w:lineRule="exact"/>
              <w:rPr>
                <w:rFonts w:ascii="仿宋_GB2312" w:hAnsi="仿宋_GB2312" w:eastAsia="仿宋_GB2312" w:cs="仿宋_GB2312"/>
                <w:sz w:val="24"/>
              </w:rPr>
            </w:pPr>
          </w:p>
        </w:tc>
        <w:tc>
          <w:tcPr>
            <w:tcW w:w="1785" w:type="dxa"/>
            <w:tcBorders>
              <w:top w:val="single" w:color="E68F8A" w:sz="4" w:space="0"/>
              <w:left w:val="single" w:color="DA554F" w:sz="4" w:space="0"/>
              <w:bottom w:val="single" w:color="E68F8A" w:sz="4" w:space="0"/>
              <w:right w:val="single" w:color="E68F8A" w:sz="4" w:space="0"/>
            </w:tcBorders>
            <w:shd w:val="clear" w:color="auto" w:fill="FDF7F6"/>
            <w:vAlign w:val="center"/>
          </w:tcPr>
          <w:p w14:paraId="5C8D34DB">
            <w:pPr>
              <w:spacing w:line="260" w:lineRule="exact"/>
              <w:rPr>
                <w:rFonts w:ascii="仿宋_GB2312" w:hAnsi="仿宋_GB2312" w:eastAsia="仿宋_GB2312" w:cs="仿宋_GB2312"/>
                <w:sz w:val="24"/>
              </w:rPr>
            </w:pPr>
          </w:p>
        </w:tc>
        <w:tc>
          <w:tcPr>
            <w:tcW w:w="1626" w:type="dxa"/>
            <w:tcBorders>
              <w:top w:val="single" w:color="E68F8A" w:sz="4" w:space="0"/>
              <w:left w:val="single" w:color="DA554F" w:sz="4" w:space="0"/>
              <w:bottom w:val="single" w:color="E68F8A" w:sz="4" w:space="0"/>
              <w:right w:val="single" w:color="E68F8A" w:sz="4" w:space="0"/>
            </w:tcBorders>
            <w:shd w:val="clear" w:color="auto" w:fill="F1CAC2"/>
          </w:tcPr>
          <w:p w14:paraId="1E5274BA">
            <w:pPr>
              <w:spacing w:line="260" w:lineRule="exact"/>
              <w:rPr>
                <w:rFonts w:ascii="仿宋_GB2312" w:hAnsi="仿宋_GB2312" w:eastAsia="仿宋_GB2312" w:cs="仿宋_GB2312"/>
                <w:sz w:val="24"/>
              </w:rPr>
            </w:pPr>
          </w:p>
        </w:tc>
      </w:tr>
      <w:tr w14:paraId="2274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1020" w:type="dxa"/>
            <w:tcBorders>
              <w:top w:val="single" w:color="E68F8A" w:sz="4" w:space="0"/>
              <w:left w:val="single" w:color="DA554F" w:sz="12" w:space="0"/>
              <w:bottom w:val="single" w:color="auto" w:sz="4" w:space="0"/>
              <w:right w:val="single" w:color="E68F8A" w:sz="4" w:space="0"/>
            </w:tcBorders>
            <w:shd w:val="clear" w:color="auto" w:fill="FDF7F6"/>
            <w:vAlign w:val="center"/>
          </w:tcPr>
          <w:p w14:paraId="6C2E1DAC">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业绩</w:t>
            </w:r>
          </w:p>
        </w:tc>
        <w:tc>
          <w:tcPr>
            <w:tcW w:w="2550" w:type="dxa"/>
            <w:tcBorders>
              <w:top w:val="single" w:color="E68F8A" w:sz="4" w:space="0"/>
              <w:left w:val="single" w:color="E68F8A" w:sz="4" w:space="0"/>
              <w:bottom w:val="single" w:color="auto" w:sz="4" w:space="0"/>
              <w:right w:val="single" w:color="E68F8A" w:sz="4" w:space="0"/>
            </w:tcBorders>
            <w:shd w:val="clear" w:color="auto" w:fill="F1CAC2"/>
            <w:vAlign w:val="center"/>
          </w:tcPr>
          <w:p w14:paraId="21E246EC">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1家以上，满分5分，满足得5分，不满足得0分</w:t>
            </w:r>
          </w:p>
        </w:tc>
        <w:tc>
          <w:tcPr>
            <w:tcW w:w="1560" w:type="dxa"/>
            <w:tcBorders>
              <w:top w:val="single" w:color="E68F8A" w:sz="4" w:space="0"/>
              <w:left w:val="single" w:color="E68F8A" w:sz="4" w:space="0"/>
              <w:bottom w:val="single" w:color="auto" w:sz="4" w:space="0"/>
              <w:right w:val="single" w:color="E68F8A" w:sz="4" w:space="0"/>
            </w:tcBorders>
            <w:shd w:val="clear" w:color="auto" w:fill="FDF7F6"/>
            <w:vAlign w:val="center"/>
          </w:tcPr>
          <w:p w14:paraId="6F60395A">
            <w:pPr>
              <w:spacing w:line="260" w:lineRule="exact"/>
              <w:rPr>
                <w:rFonts w:ascii="仿宋_GB2312" w:hAnsi="仿宋_GB2312" w:eastAsia="仿宋_GB2312" w:cs="仿宋_GB2312"/>
                <w:sz w:val="24"/>
              </w:rPr>
            </w:pPr>
          </w:p>
        </w:tc>
        <w:tc>
          <w:tcPr>
            <w:tcW w:w="1695" w:type="dxa"/>
            <w:tcBorders>
              <w:top w:val="single" w:color="E68F8A" w:sz="4" w:space="0"/>
              <w:left w:val="single" w:color="E68F8A" w:sz="4" w:space="0"/>
              <w:bottom w:val="single" w:color="auto" w:sz="4" w:space="0"/>
              <w:right w:val="single" w:color="DA554F" w:sz="4" w:space="0"/>
            </w:tcBorders>
            <w:shd w:val="clear" w:color="auto" w:fill="F1CAC2"/>
            <w:vAlign w:val="center"/>
          </w:tcPr>
          <w:p w14:paraId="4A82C322">
            <w:pPr>
              <w:spacing w:line="260" w:lineRule="exact"/>
              <w:rPr>
                <w:rFonts w:ascii="仿宋_GB2312" w:hAnsi="仿宋_GB2312" w:eastAsia="仿宋_GB2312" w:cs="仿宋_GB2312"/>
                <w:sz w:val="24"/>
              </w:rPr>
            </w:pPr>
          </w:p>
        </w:tc>
        <w:tc>
          <w:tcPr>
            <w:tcW w:w="1785" w:type="dxa"/>
            <w:tcBorders>
              <w:top w:val="single" w:color="E68F8A" w:sz="4" w:space="0"/>
              <w:left w:val="single" w:color="DA554F" w:sz="4" w:space="0"/>
              <w:bottom w:val="single" w:color="auto" w:sz="4" w:space="0"/>
              <w:right w:val="single" w:color="E68F8A" w:sz="4" w:space="0"/>
            </w:tcBorders>
            <w:shd w:val="clear" w:color="auto" w:fill="FDF7F6"/>
            <w:vAlign w:val="center"/>
          </w:tcPr>
          <w:p w14:paraId="17B964E1">
            <w:pPr>
              <w:spacing w:line="260" w:lineRule="exact"/>
              <w:rPr>
                <w:rFonts w:ascii="仿宋_GB2312" w:hAnsi="仿宋_GB2312" w:eastAsia="仿宋_GB2312" w:cs="仿宋_GB2312"/>
                <w:sz w:val="24"/>
              </w:rPr>
            </w:pPr>
          </w:p>
        </w:tc>
        <w:tc>
          <w:tcPr>
            <w:tcW w:w="1626" w:type="dxa"/>
            <w:tcBorders>
              <w:top w:val="single" w:color="E68F8A" w:sz="4" w:space="0"/>
              <w:left w:val="single" w:color="DA554F" w:sz="4" w:space="0"/>
              <w:bottom w:val="single" w:color="auto" w:sz="4" w:space="0"/>
              <w:right w:val="single" w:color="E68F8A" w:sz="4" w:space="0"/>
            </w:tcBorders>
            <w:shd w:val="clear" w:color="auto" w:fill="F1CAC2"/>
          </w:tcPr>
          <w:p w14:paraId="4149453E">
            <w:pPr>
              <w:spacing w:line="260" w:lineRule="exact"/>
              <w:rPr>
                <w:rFonts w:ascii="仿宋_GB2312" w:hAnsi="仿宋_GB2312" w:eastAsia="仿宋_GB2312" w:cs="仿宋_GB2312"/>
                <w:sz w:val="24"/>
              </w:rPr>
            </w:pPr>
          </w:p>
        </w:tc>
      </w:tr>
      <w:tr w14:paraId="1D26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1020" w:type="dxa"/>
            <w:tcBorders>
              <w:top w:val="single" w:color="auto" w:sz="4" w:space="0"/>
              <w:left w:val="single" w:color="DA554F" w:sz="12" w:space="0"/>
              <w:bottom w:val="single" w:color="E68F8A" w:sz="4" w:space="0"/>
              <w:right w:val="single" w:color="E68F8A" w:sz="4" w:space="0"/>
            </w:tcBorders>
            <w:shd w:val="clear" w:color="auto" w:fill="FDF7F6"/>
            <w:vAlign w:val="center"/>
          </w:tcPr>
          <w:p w14:paraId="294B2205">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方案</w:t>
            </w:r>
          </w:p>
          <w:p w14:paraId="4EE488D1">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陈述</w:t>
            </w:r>
          </w:p>
        </w:tc>
        <w:tc>
          <w:tcPr>
            <w:tcW w:w="2550" w:type="dxa"/>
            <w:tcBorders>
              <w:top w:val="single" w:color="auto" w:sz="4" w:space="0"/>
              <w:left w:val="single" w:color="E68F8A" w:sz="4" w:space="0"/>
              <w:bottom w:val="single" w:color="E68F8A" w:sz="4" w:space="0"/>
              <w:right w:val="single" w:color="E68F8A" w:sz="4" w:space="0"/>
            </w:tcBorders>
            <w:shd w:val="clear" w:color="auto" w:fill="F1CAC2"/>
            <w:vAlign w:val="center"/>
          </w:tcPr>
          <w:p w14:paraId="2781C6C1">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陈述内容：严格按医院发出竞争性磋商施工清单逐项说明</w:t>
            </w:r>
            <w:r>
              <w:rPr>
                <w:rFonts w:hint="eastAsia" w:ascii="仿宋_GB2312" w:hAnsi="仿宋_GB2312" w:eastAsia="仿宋_GB2312" w:cs="仿宋_GB2312"/>
                <w:kern w:val="0"/>
                <w:szCs w:val="21"/>
                <w:shd w:val="clear" w:color="auto" w:fill="FFFFFF"/>
              </w:rPr>
              <w:t>。</w:t>
            </w:r>
            <w:r>
              <w:rPr>
                <w:rFonts w:hint="eastAsia" w:ascii="仿宋_GB2312" w:hAnsi="仿宋_GB2312" w:eastAsia="仿宋_GB2312" w:cs="仿宋_GB2312"/>
                <w:szCs w:val="21"/>
              </w:rPr>
              <w:t>满分20分，全部满足得20分，部分满足得10分，未作出说明得0分</w:t>
            </w:r>
          </w:p>
        </w:tc>
        <w:tc>
          <w:tcPr>
            <w:tcW w:w="1560" w:type="dxa"/>
            <w:tcBorders>
              <w:top w:val="single" w:color="auto" w:sz="4" w:space="0"/>
              <w:left w:val="single" w:color="E68F8A" w:sz="4" w:space="0"/>
              <w:bottom w:val="single" w:color="E68F8A" w:sz="4" w:space="0"/>
              <w:right w:val="single" w:color="E68F8A" w:sz="4" w:space="0"/>
            </w:tcBorders>
            <w:shd w:val="clear" w:color="auto" w:fill="FDF7F6"/>
            <w:vAlign w:val="center"/>
          </w:tcPr>
          <w:p w14:paraId="40824667">
            <w:pPr>
              <w:spacing w:line="260" w:lineRule="exact"/>
              <w:rPr>
                <w:rFonts w:ascii="仿宋_GB2312" w:hAnsi="仿宋_GB2312" w:eastAsia="仿宋_GB2312" w:cs="仿宋_GB2312"/>
                <w:sz w:val="24"/>
              </w:rPr>
            </w:pPr>
          </w:p>
        </w:tc>
        <w:tc>
          <w:tcPr>
            <w:tcW w:w="1695" w:type="dxa"/>
            <w:tcBorders>
              <w:top w:val="single" w:color="auto" w:sz="4" w:space="0"/>
              <w:left w:val="single" w:color="E68F8A" w:sz="4" w:space="0"/>
              <w:bottom w:val="single" w:color="E68F8A" w:sz="4" w:space="0"/>
              <w:right w:val="single" w:color="DA554F" w:sz="4" w:space="0"/>
            </w:tcBorders>
            <w:shd w:val="clear" w:color="auto" w:fill="F1CAC2"/>
            <w:vAlign w:val="center"/>
          </w:tcPr>
          <w:p w14:paraId="0FDD78ED">
            <w:pPr>
              <w:spacing w:line="260" w:lineRule="exact"/>
              <w:rPr>
                <w:rFonts w:ascii="仿宋_GB2312" w:hAnsi="仿宋_GB2312" w:eastAsia="仿宋_GB2312" w:cs="仿宋_GB2312"/>
                <w:sz w:val="24"/>
              </w:rPr>
            </w:pPr>
          </w:p>
        </w:tc>
        <w:tc>
          <w:tcPr>
            <w:tcW w:w="1785" w:type="dxa"/>
            <w:tcBorders>
              <w:top w:val="single" w:color="auto" w:sz="4" w:space="0"/>
              <w:left w:val="single" w:color="DA554F" w:sz="4" w:space="0"/>
              <w:bottom w:val="single" w:color="E68F8A" w:sz="4" w:space="0"/>
              <w:right w:val="single" w:color="E68F8A" w:sz="4" w:space="0"/>
            </w:tcBorders>
            <w:shd w:val="clear" w:color="auto" w:fill="FDF7F6"/>
            <w:vAlign w:val="center"/>
          </w:tcPr>
          <w:p w14:paraId="5B1AC974">
            <w:pPr>
              <w:spacing w:line="260" w:lineRule="exact"/>
              <w:rPr>
                <w:rFonts w:ascii="仿宋_GB2312" w:hAnsi="仿宋_GB2312" w:eastAsia="仿宋_GB2312" w:cs="仿宋_GB2312"/>
                <w:sz w:val="24"/>
              </w:rPr>
            </w:pPr>
          </w:p>
        </w:tc>
        <w:tc>
          <w:tcPr>
            <w:tcW w:w="1626" w:type="dxa"/>
            <w:tcBorders>
              <w:top w:val="single" w:color="auto" w:sz="4" w:space="0"/>
              <w:left w:val="single" w:color="DA554F" w:sz="4" w:space="0"/>
              <w:bottom w:val="single" w:color="E68F8A" w:sz="4" w:space="0"/>
              <w:right w:val="single" w:color="E68F8A" w:sz="4" w:space="0"/>
            </w:tcBorders>
            <w:shd w:val="clear" w:color="auto" w:fill="F1CAC2"/>
          </w:tcPr>
          <w:p w14:paraId="2ADA3663">
            <w:pPr>
              <w:spacing w:line="260" w:lineRule="exact"/>
              <w:rPr>
                <w:rFonts w:ascii="仿宋_GB2312" w:hAnsi="仿宋_GB2312" w:eastAsia="仿宋_GB2312" w:cs="仿宋_GB2312"/>
                <w:sz w:val="24"/>
              </w:rPr>
            </w:pPr>
          </w:p>
        </w:tc>
      </w:tr>
      <w:tr w14:paraId="7D05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1020" w:type="dxa"/>
            <w:tcBorders>
              <w:top w:val="single" w:color="E68F8A" w:sz="4" w:space="0"/>
              <w:left w:val="single" w:color="DA554F" w:sz="12" w:space="0"/>
              <w:bottom w:val="single" w:color="E68F8A" w:sz="4" w:space="0"/>
              <w:right w:val="single" w:color="E68F8A" w:sz="4" w:space="0"/>
            </w:tcBorders>
            <w:shd w:val="clear" w:color="auto" w:fill="FDF7F6"/>
            <w:vAlign w:val="center"/>
          </w:tcPr>
          <w:p w14:paraId="57F01F97">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价格分</w:t>
            </w:r>
          </w:p>
        </w:tc>
        <w:tc>
          <w:tcPr>
            <w:tcW w:w="2550" w:type="dxa"/>
            <w:tcBorders>
              <w:top w:val="single" w:color="E68F8A" w:sz="4" w:space="0"/>
              <w:left w:val="single" w:color="E68F8A" w:sz="4" w:space="0"/>
              <w:bottom w:val="single" w:color="E68F8A" w:sz="4" w:space="0"/>
              <w:right w:val="single" w:color="E68F8A" w:sz="4" w:space="0"/>
            </w:tcBorders>
            <w:shd w:val="clear" w:color="auto" w:fill="F1CAC2"/>
            <w:vAlign w:val="center"/>
          </w:tcPr>
          <w:p w14:paraId="4B5CD052">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产品报价（满分30分)</w:t>
            </w:r>
          </w:p>
          <w:p w14:paraId="1C4907F9">
            <w:pPr>
              <w:spacing w:line="260" w:lineRule="exac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报价最低得满分30分，按报价高低依次递减3分</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(报价低于最高限价5%及以上的不得分)</w:t>
            </w:r>
          </w:p>
        </w:tc>
        <w:tc>
          <w:tcPr>
            <w:tcW w:w="1560" w:type="dxa"/>
            <w:tcBorders>
              <w:top w:val="single" w:color="E68F8A" w:sz="4" w:space="0"/>
              <w:left w:val="single" w:color="E68F8A" w:sz="4" w:space="0"/>
              <w:bottom w:val="single" w:color="E68F8A" w:sz="4" w:space="0"/>
              <w:right w:val="single" w:color="E68F8A" w:sz="4" w:space="0"/>
            </w:tcBorders>
            <w:shd w:val="clear" w:color="auto" w:fill="FDF7F6"/>
            <w:vAlign w:val="center"/>
          </w:tcPr>
          <w:p w14:paraId="2C3A19F7">
            <w:pPr>
              <w:spacing w:line="260" w:lineRule="exact"/>
              <w:rPr>
                <w:rFonts w:ascii="仿宋_GB2312" w:hAnsi="仿宋_GB2312" w:eastAsia="仿宋_GB2312" w:cs="仿宋_GB2312"/>
                <w:sz w:val="24"/>
              </w:rPr>
            </w:pPr>
          </w:p>
          <w:p w14:paraId="531A6914">
            <w:pPr>
              <w:spacing w:line="260" w:lineRule="exact"/>
              <w:rPr>
                <w:rFonts w:ascii="仿宋_GB2312" w:hAnsi="仿宋_GB2312" w:eastAsia="仿宋_GB2312" w:cs="仿宋_GB2312"/>
                <w:sz w:val="24"/>
              </w:rPr>
            </w:pPr>
          </w:p>
        </w:tc>
        <w:tc>
          <w:tcPr>
            <w:tcW w:w="1695" w:type="dxa"/>
            <w:tcBorders>
              <w:top w:val="single" w:color="E68F8A" w:sz="4" w:space="0"/>
              <w:left w:val="single" w:color="E68F8A" w:sz="4" w:space="0"/>
              <w:bottom w:val="single" w:color="E68F8A" w:sz="4" w:space="0"/>
              <w:right w:val="single" w:color="DA554F" w:sz="4" w:space="0"/>
            </w:tcBorders>
            <w:shd w:val="clear" w:color="auto" w:fill="F1CAC2"/>
            <w:vAlign w:val="center"/>
          </w:tcPr>
          <w:p w14:paraId="4E001AEA">
            <w:pPr>
              <w:spacing w:line="260" w:lineRule="exact"/>
              <w:rPr>
                <w:rFonts w:ascii="仿宋_GB2312" w:hAnsi="仿宋_GB2312" w:eastAsia="仿宋_GB2312" w:cs="仿宋_GB2312"/>
                <w:sz w:val="24"/>
              </w:rPr>
            </w:pPr>
          </w:p>
          <w:p w14:paraId="2389719A">
            <w:pPr>
              <w:spacing w:line="260" w:lineRule="exact"/>
              <w:rPr>
                <w:rFonts w:ascii="仿宋_GB2312" w:hAnsi="仿宋_GB2312" w:eastAsia="仿宋_GB2312" w:cs="仿宋_GB2312"/>
                <w:sz w:val="24"/>
              </w:rPr>
            </w:pPr>
          </w:p>
        </w:tc>
        <w:tc>
          <w:tcPr>
            <w:tcW w:w="1785" w:type="dxa"/>
            <w:tcBorders>
              <w:top w:val="single" w:color="E68F8A" w:sz="4" w:space="0"/>
              <w:left w:val="single" w:color="DA554F" w:sz="4" w:space="0"/>
              <w:bottom w:val="single" w:color="E68F8A" w:sz="4" w:space="0"/>
              <w:right w:val="single" w:color="E68F8A" w:sz="4" w:space="0"/>
            </w:tcBorders>
            <w:shd w:val="clear" w:color="auto" w:fill="FDF7F6"/>
            <w:vAlign w:val="center"/>
          </w:tcPr>
          <w:p w14:paraId="65AA34CE">
            <w:pPr>
              <w:spacing w:line="260" w:lineRule="exact"/>
              <w:rPr>
                <w:rFonts w:ascii="仿宋_GB2312" w:hAnsi="仿宋_GB2312" w:eastAsia="仿宋_GB2312" w:cs="仿宋_GB2312"/>
                <w:sz w:val="24"/>
              </w:rPr>
            </w:pPr>
          </w:p>
        </w:tc>
        <w:tc>
          <w:tcPr>
            <w:tcW w:w="1626" w:type="dxa"/>
            <w:tcBorders>
              <w:top w:val="single" w:color="E68F8A" w:sz="4" w:space="0"/>
              <w:left w:val="single" w:color="DA554F" w:sz="4" w:space="0"/>
              <w:bottom w:val="single" w:color="E68F8A" w:sz="4" w:space="0"/>
              <w:right w:val="single" w:color="E68F8A" w:sz="4" w:space="0"/>
            </w:tcBorders>
            <w:shd w:val="clear" w:color="auto" w:fill="F1CAC2"/>
          </w:tcPr>
          <w:p w14:paraId="7738877D">
            <w:pPr>
              <w:spacing w:line="260" w:lineRule="exact"/>
              <w:rPr>
                <w:rFonts w:ascii="仿宋_GB2312" w:hAnsi="仿宋_GB2312" w:eastAsia="仿宋_GB2312" w:cs="仿宋_GB2312"/>
                <w:sz w:val="24"/>
              </w:rPr>
            </w:pPr>
          </w:p>
        </w:tc>
      </w:tr>
      <w:tr w14:paraId="1AF5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1020" w:type="dxa"/>
            <w:tcBorders>
              <w:top w:val="single" w:color="E68F8A" w:sz="4" w:space="0"/>
              <w:left w:val="single" w:color="DA554F" w:sz="12" w:space="0"/>
              <w:bottom w:val="single" w:color="E68F8A" w:sz="4" w:space="0"/>
              <w:right w:val="single" w:color="E68F8A" w:sz="4" w:space="0"/>
            </w:tcBorders>
            <w:shd w:val="clear" w:color="auto" w:fill="FDF7F6"/>
            <w:vAlign w:val="center"/>
          </w:tcPr>
          <w:p w14:paraId="7E60A495">
            <w:pPr>
              <w:spacing w:line="260" w:lineRule="exact"/>
              <w:rPr>
                <w:rFonts w:ascii="仿宋_GB2312" w:hAnsi="仿宋_GB2312" w:eastAsia="仿宋_GB2312" w:cs="仿宋_GB2312"/>
                <w:sz w:val="24"/>
              </w:rPr>
            </w:pPr>
            <w:r>
              <w:rPr>
                <w:rFonts w:hint="eastAsia" w:ascii="仿宋_GB2312" w:hAnsi="仿宋_GB2312" w:eastAsia="仿宋_GB2312" w:cs="仿宋_GB2312"/>
                <w:sz w:val="24"/>
              </w:rPr>
              <w:t>工期分</w:t>
            </w:r>
          </w:p>
        </w:tc>
        <w:tc>
          <w:tcPr>
            <w:tcW w:w="2550" w:type="dxa"/>
            <w:tcBorders>
              <w:top w:val="single" w:color="E68F8A" w:sz="4" w:space="0"/>
              <w:left w:val="single" w:color="E68F8A" w:sz="4" w:space="0"/>
              <w:bottom w:val="single" w:color="E68F8A" w:sz="4" w:space="0"/>
              <w:right w:val="single" w:color="E68F8A" w:sz="4" w:space="0"/>
            </w:tcBorders>
            <w:shd w:val="clear" w:color="auto" w:fill="F1CAC2"/>
            <w:vAlign w:val="center"/>
          </w:tcPr>
          <w:p w14:paraId="0C72EBF5">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满分10分，满足得10分，不满足得5分</w:t>
            </w:r>
          </w:p>
        </w:tc>
        <w:tc>
          <w:tcPr>
            <w:tcW w:w="1560" w:type="dxa"/>
            <w:tcBorders>
              <w:top w:val="single" w:color="E68F8A" w:sz="4" w:space="0"/>
              <w:left w:val="single" w:color="E68F8A" w:sz="4" w:space="0"/>
              <w:bottom w:val="single" w:color="E68F8A" w:sz="4" w:space="0"/>
              <w:right w:val="single" w:color="E68F8A" w:sz="4" w:space="0"/>
            </w:tcBorders>
            <w:shd w:val="clear" w:color="auto" w:fill="FDF7F6"/>
            <w:vAlign w:val="center"/>
          </w:tcPr>
          <w:p w14:paraId="3A83A021">
            <w:pPr>
              <w:spacing w:line="260" w:lineRule="exact"/>
              <w:rPr>
                <w:rFonts w:ascii="仿宋_GB2312" w:hAnsi="仿宋_GB2312" w:eastAsia="仿宋_GB2312" w:cs="仿宋_GB2312"/>
                <w:sz w:val="24"/>
              </w:rPr>
            </w:pPr>
          </w:p>
        </w:tc>
        <w:tc>
          <w:tcPr>
            <w:tcW w:w="1695" w:type="dxa"/>
            <w:tcBorders>
              <w:top w:val="single" w:color="E68F8A" w:sz="4" w:space="0"/>
              <w:left w:val="single" w:color="E68F8A" w:sz="4" w:space="0"/>
              <w:bottom w:val="single" w:color="E68F8A" w:sz="4" w:space="0"/>
              <w:right w:val="single" w:color="DA554F" w:sz="4" w:space="0"/>
            </w:tcBorders>
            <w:shd w:val="clear" w:color="auto" w:fill="F1CAC2"/>
            <w:vAlign w:val="center"/>
          </w:tcPr>
          <w:p w14:paraId="0349C990">
            <w:pPr>
              <w:spacing w:line="260" w:lineRule="exact"/>
              <w:rPr>
                <w:rFonts w:ascii="仿宋_GB2312" w:hAnsi="仿宋_GB2312" w:eastAsia="仿宋_GB2312" w:cs="仿宋_GB2312"/>
                <w:sz w:val="24"/>
              </w:rPr>
            </w:pPr>
          </w:p>
        </w:tc>
        <w:tc>
          <w:tcPr>
            <w:tcW w:w="1785" w:type="dxa"/>
            <w:tcBorders>
              <w:top w:val="single" w:color="E68F8A" w:sz="4" w:space="0"/>
              <w:left w:val="single" w:color="DA554F" w:sz="4" w:space="0"/>
              <w:bottom w:val="single" w:color="E68F8A" w:sz="4" w:space="0"/>
              <w:right w:val="single" w:color="E68F8A" w:sz="4" w:space="0"/>
            </w:tcBorders>
            <w:shd w:val="clear" w:color="auto" w:fill="FDF7F6"/>
            <w:vAlign w:val="center"/>
          </w:tcPr>
          <w:p w14:paraId="74322C47">
            <w:pPr>
              <w:spacing w:line="260" w:lineRule="exact"/>
              <w:rPr>
                <w:rFonts w:ascii="仿宋_GB2312" w:hAnsi="仿宋_GB2312" w:eastAsia="仿宋_GB2312" w:cs="仿宋_GB2312"/>
                <w:sz w:val="24"/>
              </w:rPr>
            </w:pPr>
          </w:p>
        </w:tc>
        <w:tc>
          <w:tcPr>
            <w:tcW w:w="1626" w:type="dxa"/>
            <w:tcBorders>
              <w:top w:val="single" w:color="E68F8A" w:sz="4" w:space="0"/>
              <w:left w:val="single" w:color="DA554F" w:sz="4" w:space="0"/>
              <w:bottom w:val="single" w:color="E68F8A" w:sz="4" w:space="0"/>
              <w:right w:val="single" w:color="E68F8A" w:sz="4" w:space="0"/>
            </w:tcBorders>
            <w:shd w:val="clear" w:color="auto" w:fill="F1CAC2"/>
          </w:tcPr>
          <w:p w14:paraId="31EBF2E1">
            <w:pPr>
              <w:spacing w:line="260" w:lineRule="exact"/>
              <w:rPr>
                <w:rFonts w:ascii="仿宋_GB2312" w:hAnsi="仿宋_GB2312" w:eastAsia="仿宋_GB2312" w:cs="仿宋_GB2312"/>
                <w:sz w:val="24"/>
              </w:rPr>
            </w:pPr>
          </w:p>
        </w:tc>
      </w:tr>
      <w:tr w14:paraId="722B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3570" w:type="dxa"/>
            <w:gridSpan w:val="2"/>
            <w:tcBorders>
              <w:top w:val="single" w:color="E68F8A" w:sz="4" w:space="0"/>
              <w:left w:val="single" w:color="DA554F" w:sz="12" w:space="0"/>
              <w:bottom w:val="single" w:color="DA554F" w:sz="12" w:space="0"/>
              <w:right w:val="single" w:color="E68F8A" w:sz="4" w:space="0"/>
            </w:tcBorders>
            <w:shd w:val="clear" w:color="auto" w:fill="F8E2DD"/>
            <w:vAlign w:val="center"/>
          </w:tcPr>
          <w:p w14:paraId="3A2C24EB">
            <w:pPr>
              <w:spacing w:line="260" w:lineRule="exact"/>
              <w:rPr>
                <w:rFonts w:ascii="仿宋_GB2312" w:hAnsi="仿宋_GB2312" w:eastAsia="仿宋_GB2312" w:cs="仿宋_GB2312"/>
                <w:sz w:val="24"/>
              </w:rPr>
            </w:pPr>
            <w:r>
              <w:rPr>
                <w:rFonts w:hint="eastAsia" w:ascii="仿宋_GB2312" w:hAnsi="仿宋_GB2312" w:eastAsia="仿宋_GB2312" w:cs="仿宋_GB2312"/>
                <w:sz w:val="24"/>
                <w:lang w:val="en-US" w:eastAsia="zh-CN"/>
              </w:rPr>
              <w:t>得分</w:t>
            </w:r>
            <w:r>
              <w:rPr>
                <w:rFonts w:hint="eastAsia" w:ascii="仿宋_GB2312" w:hAnsi="仿宋_GB2312" w:eastAsia="仿宋_GB2312" w:cs="仿宋_GB2312"/>
                <w:sz w:val="24"/>
              </w:rPr>
              <w:t>：</w:t>
            </w:r>
          </w:p>
        </w:tc>
        <w:tc>
          <w:tcPr>
            <w:tcW w:w="1560" w:type="dxa"/>
            <w:tcBorders>
              <w:top w:val="single" w:color="E68F8A" w:sz="4" w:space="0"/>
              <w:left w:val="single" w:color="E68F8A" w:sz="4" w:space="0"/>
              <w:bottom w:val="single" w:color="DA554F" w:sz="12" w:space="0"/>
              <w:right w:val="single" w:color="E68F8A" w:sz="4" w:space="0"/>
            </w:tcBorders>
            <w:shd w:val="clear" w:color="auto" w:fill="F8E2DD"/>
            <w:vAlign w:val="center"/>
          </w:tcPr>
          <w:p w14:paraId="4C141A50">
            <w:pPr>
              <w:spacing w:line="260" w:lineRule="exact"/>
              <w:rPr>
                <w:rFonts w:ascii="仿宋_GB2312" w:hAnsi="仿宋_GB2312" w:eastAsia="仿宋_GB2312" w:cs="仿宋_GB2312"/>
                <w:sz w:val="24"/>
              </w:rPr>
            </w:pPr>
          </w:p>
        </w:tc>
        <w:tc>
          <w:tcPr>
            <w:tcW w:w="1695" w:type="dxa"/>
            <w:tcBorders>
              <w:top w:val="single" w:color="E68F8A" w:sz="4" w:space="0"/>
              <w:left w:val="single" w:color="E68F8A" w:sz="4" w:space="0"/>
              <w:bottom w:val="single" w:color="DA554F" w:sz="12" w:space="0"/>
              <w:right w:val="single" w:color="E68F8A" w:sz="4" w:space="0"/>
            </w:tcBorders>
            <w:shd w:val="clear" w:color="auto" w:fill="F8E2DD"/>
            <w:vAlign w:val="center"/>
          </w:tcPr>
          <w:p w14:paraId="5D10733F">
            <w:pPr>
              <w:spacing w:line="260" w:lineRule="exact"/>
              <w:rPr>
                <w:rFonts w:ascii="仿宋_GB2312" w:hAnsi="仿宋_GB2312" w:eastAsia="仿宋_GB2312" w:cs="仿宋_GB2312"/>
                <w:sz w:val="24"/>
              </w:rPr>
            </w:pPr>
          </w:p>
        </w:tc>
        <w:tc>
          <w:tcPr>
            <w:tcW w:w="1785" w:type="dxa"/>
            <w:tcBorders>
              <w:top w:val="single" w:color="E68F8A" w:sz="4" w:space="0"/>
              <w:left w:val="single" w:color="E68F8A" w:sz="4" w:space="0"/>
              <w:bottom w:val="single" w:color="DA554F" w:sz="12" w:space="0"/>
              <w:right w:val="single" w:color="DA554F" w:sz="4" w:space="0"/>
            </w:tcBorders>
            <w:shd w:val="clear" w:color="auto" w:fill="F8E2DD"/>
            <w:vAlign w:val="center"/>
          </w:tcPr>
          <w:p w14:paraId="37E59347">
            <w:pPr>
              <w:spacing w:line="260" w:lineRule="exact"/>
              <w:rPr>
                <w:rFonts w:ascii="仿宋_GB2312" w:hAnsi="仿宋_GB2312" w:eastAsia="仿宋_GB2312" w:cs="仿宋_GB2312"/>
                <w:sz w:val="24"/>
              </w:rPr>
            </w:pPr>
          </w:p>
        </w:tc>
        <w:tc>
          <w:tcPr>
            <w:tcW w:w="1626" w:type="dxa"/>
            <w:tcBorders>
              <w:top w:val="single" w:color="E68F8A" w:sz="4" w:space="0"/>
              <w:left w:val="single" w:color="E68F8A" w:sz="4" w:space="0"/>
              <w:bottom w:val="single" w:color="DA554F" w:sz="12" w:space="0"/>
              <w:right w:val="single" w:color="DA554F" w:sz="4" w:space="0"/>
            </w:tcBorders>
            <w:shd w:val="clear" w:color="auto" w:fill="F8E2DD"/>
          </w:tcPr>
          <w:p w14:paraId="176A76CD">
            <w:pPr>
              <w:spacing w:line="260" w:lineRule="exact"/>
              <w:rPr>
                <w:rFonts w:ascii="仿宋_GB2312" w:hAnsi="仿宋_GB2312" w:eastAsia="仿宋_GB2312" w:cs="仿宋_GB2312"/>
                <w:sz w:val="24"/>
              </w:rPr>
            </w:pPr>
          </w:p>
        </w:tc>
      </w:tr>
    </w:tbl>
    <w:p w14:paraId="338C3E49">
      <w:pPr>
        <w:jc w:val="left"/>
        <w:rPr>
          <w:rFonts w:hint="eastAsia"/>
          <w:b/>
          <w:bCs/>
          <w:sz w:val="30"/>
          <w:szCs w:val="30"/>
          <w:lang w:val="en-US" w:eastAsia="zh-CN"/>
        </w:rPr>
      </w:pPr>
    </w:p>
    <w:p w14:paraId="6B123A5F">
      <w:pPr>
        <w:jc w:val="left"/>
        <w:rPr>
          <w:rFonts w:hint="eastAsia"/>
          <w:b/>
          <w:bCs/>
          <w:sz w:val="30"/>
          <w:szCs w:val="30"/>
          <w:lang w:val="en-US" w:eastAsia="zh-CN"/>
        </w:rPr>
      </w:pPr>
      <w:r>
        <w:rPr>
          <w:rFonts w:hint="eastAsia"/>
          <w:b/>
          <w:bCs/>
          <w:sz w:val="30"/>
          <w:szCs w:val="30"/>
          <w:lang w:val="en-US" w:eastAsia="zh-CN"/>
        </w:rPr>
        <w:t>附件2：</w:t>
      </w:r>
    </w:p>
    <w:p w14:paraId="541CC9A6">
      <w:pPr>
        <w:spacing w:line="360" w:lineRule="auto"/>
        <w:ind w:firstLine="301" w:firstLineChars="100"/>
        <w:rPr>
          <w:rFonts w:hint="eastAsia" w:ascii="仿宋_GB2312" w:hAnsi="宋体" w:eastAsia="仿宋_GB2312"/>
          <w:sz w:val="30"/>
          <w:szCs w:val="30"/>
        </w:rPr>
      </w:pPr>
      <w:r>
        <w:rPr>
          <w:rFonts w:hint="eastAsia" w:ascii="仿宋_GB2312" w:hAnsi="宋体" w:eastAsia="仿宋_GB2312"/>
          <w:b/>
          <w:bCs/>
          <w:sz w:val="30"/>
          <w:szCs w:val="30"/>
        </w:rPr>
        <w:t>一、</w:t>
      </w:r>
      <w:r>
        <w:rPr>
          <w:rFonts w:hint="eastAsia" w:ascii="仿宋_GB2312" w:hAnsi="宋体" w:eastAsia="仿宋_GB2312"/>
          <w:b/>
          <w:bCs/>
          <w:sz w:val="30"/>
          <w:szCs w:val="30"/>
          <w:lang w:val="en-US" w:eastAsia="zh-CN"/>
        </w:rPr>
        <w:t>磋商</w:t>
      </w:r>
      <w:r>
        <w:rPr>
          <w:rFonts w:hint="eastAsia" w:ascii="仿宋_GB2312" w:hAnsi="宋体" w:eastAsia="仿宋_GB2312"/>
          <w:b/>
          <w:bCs/>
          <w:sz w:val="30"/>
          <w:szCs w:val="30"/>
        </w:rPr>
        <w:t>须知</w:t>
      </w:r>
    </w:p>
    <w:p w14:paraId="5599AF57">
      <w:pPr>
        <w:spacing w:line="360" w:lineRule="auto"/>
        <w:ind w:left="560"/>
        <w:rPr>
          <w:rFonts w:hint="eastAsia" w:ascii="仿宋_GB2312" w:hAnsi="宋体" w:eastAsia="仿宋_GB2312"/>
          <w:sz w:val="30"/>
          <w:szCs w:val="30"/>
        </w:rPr>
      </w:pPr>
      <w:r>
        <w:rPr>
          <w:rFonts w:hint="eastAsia" w:ascii="仿宋_GB2312" w:hAnsi="宋体" w:eastAsia="仿宋_GB2312"/>
          <w:sz w:val="30"/>
          <w:szCs w:val="30"/>
        </w:rPr>
        <w:t>1、工程说明</w:t>
      </w:r>
    </w:p>
    <w:p w14:paraId="668465E6">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1.1  工程名称：贵州航天医院呼吸综合楼负一楼磁共振区域和智慧后勤管理中心办公场所建设项目</w:t>
      </w:r>
    </w:p>
    <w:p w14:paraId="7E147D4F">
      <w:pPr>
        <w:spacing w:line="360" w:lineRule="auto"/>
        <w:ind w:firstLine="576" w:firstLineChars="192"/>
        <w:rPr>
          <w:rFonts w:hint="eastAsia" w:ascii="仿宋_GB2312" w:hAnsi="宋体" w:eastAsia="仿宋_GB2312"/>
          <w:sz w:val="30"/>
          <w:szCs w:val="30"/>
        </w:rPr>
      </w:pPr>
      <w:r>
        <w:rPr>
          <w:rFonts w:hint="eastAsia" w:ascii="仿宋_GB2312" w:hAnsi="宋体" w:eastAsia="仿宋_GB2312"/>
          <w:sz w:val="30"/>
          <w:szCs w:val="30"/>
        </w:rPr>
        <w:t>1.2　本工程按照贵州航天医院的相关规定，通过竞争性</w:t>
      </w:r>
      <w:bookmarkStart w:id="0" w:name="_GoBack"/>
      <w:r>
        <w:rPr>
          <w:rFonts w:hint="eastAsia" w:ascii="仿宋_GB2312" w:hAnsi="宋体" w:eastAsia="仿宋_GB2312"/>
          <w:sz w:val="30"/>
          <w:szCs w:val="30"/>
        </w:rPr>
        <w:t>磋商</w:t>
      </w:r>
      <w:bookmarkEnd w:id="0"/>
      <w:r>
        <w:rPr>
          <w:rFonts w:hint="eastAsia" w:ascii="仿宋_GB2312" w:hAnsi="宋体" w:eastAsia="仿宋_GB2312"/>
          <w:sz w:val="30"/>
          <w:szCs w:val="30"/>
        </w:rPr>
        <w:t>来选定施工单位。</w:t>
      </w:r>
    </w:p>
    <w:p w14:paraId="4BAD9433">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1.3　资金来源：自筹资金</w:t>
      </w:r>
    </w:p>
    <w:p w14:paraId="658E02D3">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1.4　询价费用：投标单位在投标过程中产生的一切费用自理。</w:t>
      </w:r>
    </w:p>
    <w:p w14:paraId="09467428">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1.5、本工程质量要求：质量为合格。</w:t>
      </w:r>
    </w:p>
    <w:p w14:paraId="67A99F71">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1.6、本工程工期要求：总工期</w:t>
      </w:r>
      <w:r>
        <w:rPr>
          <w:rFonts w:hint="eastAsia" w:ascii="仿宋_GB2312" w:eastAsia="仿宋_GB2312"/>
          <w:sz w:val="30"/>
          <w:szCs w:val="30"/>
          <w:lang w:val="en-US" w:eastAsia="zh-CN"/>
        </w:rPr>
        <w:t>3</w:t>
      </w:r>
      <w:r>
        <w:rPr>
          <w:rFonts w:hint="eastAsia" w:ascii="仿宋_GB2312" w:eastAsia="仿宋_GB2312"/>
          <w:sz w:val="30"/>
          <w:szCs w:val="30"/>
        </w:rPr>
        <w:t>个月，签定合同之日起计算。</w:t>
      </w:r>
    </w:p>
    <w:p w14:paraId="4B4FB13B">
      <w:pPr>
        <w:spacing w:line="360" w:lineRule="auto"/>
        <w:ind w:firstLine="600" w:firstLineChars="200"/>
        <w:rPr>
          <w:rFonts w:hint="eastAsia" w:ascii="仿宋_GB2312" w:eastAsia="仿宋_GB2312"/>
          <w:sz w:val="30"/>
          <w:szCs w:val="30"/>
          <w:lang w:eastAsia="zh-CN"/>
        </w:rPr>
      </w:pPr>
      <w:r>
        <w:rPr>
          <w:rFonts w:hint="eastAsia" w:ascii="仿宋_GB2312" w:eastAsia="仿宋_GB2312"/>
          <w:sz w:val="30"/>
          <w:szCs w:val="30"/>
        </w:rPr>
        <w:t>1.7、本工程的发包方式：包工包料</w:t>
      </w:r>
      <w:r>
        <w:rPr>
          <w:rFonts w:hint="eastAsia" w:ascii="仿宋_GB2312" w:eastAsia="仿宋_GB2312"/>
          <w:sz w:val="30"/>
          <w:szCs w:val="30"/>
          <w:lang w:eastAsia="zh-CN"/>
        </w:rPr>
        <w:t>。</w:t>
      </w:r>
    </w:p>
    <w:p w14:paraId="73F2FA71">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1.8、踏勘现场时间：不集中组织，投标单位自行踏勘现场；</w:t>
      </w:r>
    </w:p>
    <w:p w14:paraId="4FEAD8DC">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1.9、询价答疑：请各单位于现场踏勘后竞争性磋商开标前三天内将书面询价疑问书交到贵州航天医院项目办。</w:t>
      </w:r>
    </w:p>
    <w:p w14:paraId="2360E0CC">
      <w:pPr>
        <w:spacing w:line="360" w:lineRule="auto"/>
        <w:rPr>
          <w:rFonts w:hint="eastAsia" w:ascii="仿宋_GB2312" w:eastAsia="仿宋_GB2312"/>
          <w:sz w:val="30"/>
          <w:szCs w:val="30"/>
        </w:rPr>
      </w:pPr>
    </w:p>
    <w:p w14:paraId="76724E8F">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2、报价说明</w:t>
      </w:r>
    </w:p>
    <w:p w14:paraId="525198CA">
      <w:pPr>
        <w:spacing w:line="360" w:lineRule="auto"/>
        <w:ind w:firstLine="600" w:firstLineChars="200"/>
        <w:rPr>
          <w:rFonts w:ascii="仿宋_GB2312" w:eastAsia="仿宋_GB2312"/>
          <w:sz w:val="30"/>
          <w:szCs w:val="30"/>
        </w:rPr>
      </w:pPr>
      <w:r>
        <w:rPr>
          <w:rFonts w:hint="eastAsia" w:ascii="仿宋_GB2312" w:eastAsia="仿宋_GB2312"/>
          <w:sz w:val="30"/>
          <w:szCs w:val="30"/>
        </w:rPr>
        <w:t>2.1　</w:t>
      </w:r>
      <w:r>
        <w:rPr>
          <w:rFonts w:hint="eastAsia" w:ascii="仿宋_GB2312" w:eastAsia="仿宋_GB2312"/>
          <w:b/>
          <w:bCs/>
          <w:sz w:val="30"/>
          <w:szCs w:val="30"/>
        </w:rPr>
        <w:t>本工程拦标价为</w:t>
      </w:r>
      <w:r>
        <w:rPr>
          <w:rFonts w:hint="eastAsia" w:ascii="仿宋_GB2312" w:eastAsia="仿宋_GB2312"/>
          <w:b/>
          <w:bCs/>
          <w:sz w:val="30"/>
          <w:szCs w:val="30"/>
          <w:lang w:val="en-US" w:eastAsia="zh-CN"/>
        </w:rPr>
        <w:t>50</w:t>
      </w:r>
      <w:r>
        <w:rPr>
          <w:rFonts w:hint="eastAsia" w:ascii="仿宋_GB2312" w:eastAsia="仿宋_GB2312"/>
          <w:b/>
          <w:bCs/>
          <w:sz w:val="30"/>
          <w:szCs w:val="30"/>
        </w:rPr>
        <w:t>万元整；</w:t>
      </w:r>
      <w:r>
        <w:rPr>
          <w:rFonts w:hint="eastAsia" w:ascii="仿宋_GB2312" w:eastAsia="仿宋_GB2312"/>
          <w:sz w:val="30"/>
          <w:szCs w:val="30"/>
        </w:rPr>
        <w:t>投标单位投标价格应完成</w:t>
      </w:r>
      <w:r>
        <w:rPr>
          <w:rFonts w:hint="eastAsia" w:ascii="仿宋_GB2312" w:eastAsia="仿宋_GB2312"/>
          <w:sz w:val="30"/>
          <w:szCs w:val="30"/>
          <w:lang w:val="en-US" w:eastAsia="zh-CN"/>
        </w:rPr>
        <w:t>本</w:t>
      </w:r>
      <w:r>
        <w:rPr>
          <w:rFonts w:hint="eastAsia" w:ascii="仿宋_GB2312" w:eastAsia="仿宋_GB2312"/>
          <w:sz w:val="30"/>
          <w:szCs w:val="30"/>
        </w:rPr>
        <w:t>项目全部工程内容的</w:t>
      </w:r>
      <w:r>
        <w:rPr>
          <w:rFonts w:hint="eastAsia" w:ascii="仿宋_GB2312" w:eastAsia="仿宋_GB2312"/>
          <w:sz w:val="30"/>
          <w:szCs w:val="30"/>
          <w:lang w:val="en-US" w:eastAsia="zh-CN"/>
        </w:rPr>
        <w:t>方案（含效果图）及施工图设计、工程建设等</w:t>
      </w:r>
      <w:r>
        <w:rPr>
          <w:rFonts w:hint="eastAsia" w:ascii="仿宋_GB2312" w:eastAsia="仿宋_GB2312"/>
          <w:sz w:val="30"/>
          <w:szCs w:val="30"/>
        </w:rPr>
        <w:t>各项费用的总和；</w:t>
      </w:r>
    </w:p>
    <w:p w14:paraId="1741D898">
      <w:pPr>
        <w:spacing w:line="360" w:lineRule="auto"/>
        <w:ind w:firstLine="600" w:firstLineChars="200"/>
        <w:rPr>
          <w:rFonts w:hint="eastAsia" w:ascii="仿宋_GB2312" w:eastAsia="仿宋_GB2312"/>
          <w:color w:val="FF0000"/>
          <w:sz w:val="30"/>
          <w:szCs w:val="30"/>
        </w:rPr>
      </w:pPr>
      <w:r>
        <w:rPr>
          <w:rFonts w:hint="eastAsia" w:ascii="仿宋_GB2312" w:eastAsia="仿宋_GB2312"/>
          <w:sz w:val="30"/>
          <w:szCs w:val="30"/>
        </w:rPr>
        <w:t>2.2　本工程</w:t>
      </w:r>
      <w:r>
        <w:rPr>
          <w:rFonts w:hint="eastAsia" w:ascii="仿宋_GB2312" w:eastAsia="仿宋_GB2312"/>
          <w:sz w:val="30"/>
          <w:szCs w:val="30"/>
          <w:lang w:val="en-US" w:eastAsia="zh-CN"/>
        </w:rPr>
        <w:t>磋商</w:t>
      </w:r>
      <w:r>
        <w:rPr>
          <w:rFonts w:hint="eastAsia" w:ascii="仿宋_GB2312" w:eastAsia="仿宋_GB2312"/>
          <w:sz w:val="30"/>
          <w:szCs w:val="30"/>
        </w:rPr>
        <w:t>文件的工程量按照呼吸综合楼负一楼磁共振区域和智慧后勤管理中心办公场所建设项目</w:t>
      </w:r>
      <w:r>
        <w:rPr>
          <w:rFonts w:hint="eastAsia" w:ascii="仿宋_GB2312" w:eastAsia="仿宋_GB2312"/>
          <w:sz w:val="30"/>
          <w:szCs w:val="30"/>
          <w:lang w:val="en-US" w:eastAsia="zh-CN"/>
        </w:rPr>
        <w:t>初步方案图及拟改造现场暂估。</w:t>
      </w:r>
    </w:p>
    <w:p w14:paraId="3CFA32CE">
      <w:pPr>
        <w:spacing w:line="360" w:lineRule="auto"/>
        <w:ind w:firstLine="600" w:firstLineChars="200"/>
        <w:rPr>
          <w:rFonts w:hint="eastAsia" w:ascii="仿宋_GB2312" w:eastAsia="仿宋_GB2312"/>
          <w:color w:val="FF0000"/>
          <w:sz w:val="30"/>
          <w:szCs w:val="30"/>
        </w:rPr>
      </w:pPr>
      <w:r>
        <w:rPr>
          <w:rFonts w:hint="eastAsia" w:ascii="仿宋_GB2312" w:eastAsia="仿宋_GB2312"/>
          <w:sz w:val="30"/>
          <w:szCs w:val="30"/>
        </w:rPr>
        <w:t>2.3　投标文件报价的计算依据：投标单位应根据贵州省16定额及相关调差文件并结合市场价、自身情况自行进行测算报价。并考虑施工期间物价变动的因素一次进入投标总价。</w:t>
      </w:r>
    </w:p>
    <w:p w14:paraId="2428F83B">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2.4 按照规定应该计取的费用而未计取视为投标人自动优惠给招标人，在投标文件中应计取的费用因不清楚而又不在答疑中提出，并且未计取的均视为包含在投标人的总报价内。</w:t>
      </w:r>
    </w:p>
    <w:p w14:paraId="3EE4F683">
      <w:pPr>
        <w:spacing w:line="360" w:lineRule="auto"/>
        <w:ind w:firstLine="600" w:firstLineChars="200"/>
        <w:rPr>
          <w:rFonts w:hint="eastAsia" w:ascii="仿宋_GB2312" w:eastAsia="仿宋_GB2312"/>
          <w:sz w:val="30"/>
          <w:szCs w:val="30"/>
        </w:rPr>
      </w:pPr>
    </w:p>
    <w:p w14:paraId="756AFE29">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3　</w:t>
      </w:r>
      <w:r>
        <w:rPr>
          <w:rFonts w:hint="eastAsia" w:ascii="仿宋_GB2312" w:eastAsia="仿宋_GB2312"/>
          <w:sz w:val="30"/>
          <w:szCs w:val="30"/>
          <w:lang w:val="en-US" w:eastAsia="zh-CN"/>
        </w:rPr>
        <w:t>磋商</w:t>
      </w:r>
      <w:r>
        <w:rPr>
          <w:rFonts w:hint="eastAsia" w:ascii="仿宋_GB2312" w:eastAsia="仿宋_GB2312"/>
          <w:sz w:val="30"/>
          <w:szCs w:val="30"/>
        </w:rPr>
        <w:t>文件的编制</w:t>
      </w:r>
    </w:p>
    <w:p w14:paraId="7795C512">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3.1　竞争性</w:t>
      </w:r>
      <w:r>
        <w:rPr>
          <w:rFonts w:hint="eastAsia" w:ascii="仿宋_GB2312" w:eastAsia="仿宋_GB2312"/>
          <w:sz w:val="30"/>
          <w:szCs w:val="30"/>
          <w:lang w:val="en-US" w:eastAsia="zh-CN"/>
        </w:rPr>
        <w:t>磋商</w:t>
      </w:r>
      <w:r>
        <w:rPr>
          <w:rFonts w:hint="eastAsia" w:ascii="仿宋_GB2312" w:eastAsia="仿宋_GB2312"/>
          <w:sz w:val="30"/>
          <w:szCs w:val="30"/>
        </w:rPr>
        <w:t>文件语言：招标文件及投标人与招标人之间与竞争性</w:t>
      </w:r>
      <w:r>
        <w:rPr>
          <w:rFonts w:hint="eastAsia" w:ascii="仿宋_GB2312" w:eastAsia="仿宋_GB2312"/>
          <w:sz w:val="30"/>
          <w:szCs w:val="30"/>
          <w:lang w:val="en-US" w:eastAsia="zh-CN"/>
        </w:rPr>
        <w:t>磋商</w:t>
      </w:r>
      <w:r>
        <w:rPr>
          <w:rFonts w:hint="eastAsia" w:ascii="仿宋_GB2312" w:eastAsia="仿宋_GB2312"/>
          <w:sz w:val="30"/>
          <w:szCs w:val="30"/>
        </w:rPr>
        <w:t>有关的来往通知，函件和文件均使用中文。</w:t>
      </w:r>
    </w:p>
    <w:p w14:paraId="38A66B7B">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3.2　竞争性</w:t>
      </w:r>
      <w:r>
        <w:rPr>
          <w:rFonts w:hint="eastAsia" w:ascii="仿宋_GB2312" w:eastAsia="仿宋_GB2312"/>
          <w:sz w:val="30"/>
          <w:szCs w:val="30"/>
          <w:lang w:val="en-US" w:eastAsia="zh-CN"/>
        </w:rPr>
        <w:t>磋商</w:t>
      </w:r>
      <w:r>
        <w:rPr>
          <w:rFonts w:hint="eastAsia" w:ascii="仿宋_GB2312" w:eastAsia="仿宋_GB2312"/>
          <w:sz w:val="30"/>
          <w:szCs w:val="30"/>
        </w:rPr>
        <w:t>文件的组成</w:t>
      </w:r>
    </w:p>
    <w:p w14:paraId="2B6F0AE1">
      <w:pPr>
        <w:spacing w:line="360" w:lineRule="auto"/>
        <w:ind w:firstLine="600" w:firstLineChars="200"/>
        <w:rPr>
          <w:rFonts w:ascii="仿宋_GB2312" w:eastAsia="仿宋_GB2312"/>
          <w:sz w:val="30"/>
          <w:szCs w:val="30"/>
        </w:rPr>
      </w:pPr>
      <w:r>
        <w:rPr>
          <w:rFonts w:hint="eastAsia" w:ascii="仿宋_GB2312" w:eastAsia="仿宋_GB2312"/>
          <w:sz w:val="30"/>
          <w:szCs w:val="30"/>
        </w:rPr>
        <w:t>3.2.1企业法人营业执照、资质证书、安全生产许可证、承担本项目的项目经理二级建筑工程专业注册建造师证书.施工方案，工程案例等。</w:t>
      </w:r>
    </w:p>
    <w:p w14:paraId="301B8C6C">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3.2.2报价书、工程造价预算书、工程报价汇总表等内容。整个投标文件为一个密封包装。</w:t>
      </w:r>
    </w:p>
    <w:p w14:paraId="3718D241">
      <w:pPr>
        <w:spacing w:line="360" w:lineRule="auto"/>
        <w:ind w:firstLine="576" w:firstLineChars="192"/>
        <w:jc w:val="center"/>
        <w:rPr>
          <w:rFonts w:hint="eastAsia" w:ascii="仿宋_GB2312" w:hAnsi="宋体" w:eastAsia="仿宋_GB2312"/>
          <w:sz w:val="30"/>
          <w:szCs w:val="30"/>
        </w:rPr>
      </w:pPr>
    </w:p>
    <w:p w14:paraId="3AC4EDC9">
      <w:pPr>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二、竞争性</w:t>
      </w:r>
      <w:r>
        <w:rPr>
          <w:rFonts w:hint="eastAsia" w:ascii="仿宋_GB2312" w:hAnsi="宋体" w:eastAsia="仿宋_GB2312"/>
          <w:b/>
          <w:bCs/>
          <w:sz w:val="30"/>
          <w:szCs w:val="30"/>
          <w:lang w:val="en-US" w:eastAsia="zh-CN"/>
        </w:rPr>
        <w:t>磋商</w:t>
      </w:r>
      <w:r>
        <w:rPr>
          <w:rFonts w:hint="eastAsia" w:ascii="仿宋_GB2312" w:hAnsi="宋体" w:eastAsia="仿宋_GB2312"/>
          <w:b/>
          <w:bCs/>
          <w:sz w:val="30"/>
          <w:szCs w:val="30"/>
        </w:rPr>
        <w:t>范围</w:t>
      </w:r>
    </w:p>
    <w:p w14:paraId="6E110CE7">
      <w:pPr>
        <w:rPr>
          <w:rFonts w:hint="eastAsia" w:ascii="仿宋_GB2312" w:eastAsia="仿宋_GB2312"/>
          <w:sz w:val="30"/>
          <w:szCs w:val="30"/>
        </w:rPr>
      </w:pPr>
      <w:r>
        <w:rPr>
          <w:rFonts w:hint="eastAsia" w:ascii="仿宋_GB2312" w:eastAsia="仿宋_GB2312"/>
          <w:sz w:val="30"/>
          <w:szCs w:val="30"/>
        </w:rPr>
        <w:t xml:space="preserve">  </w:t>
      </w:r>
    </w:p>
    <w:p w14:paraId="7B94A32A">
      <w:pPr>
        <w:rPr>
          <w:rFonts w:ascii="仿宋_GB2312" w:eastAsia="仿宋_GB2312"/>
          <w:b/>
          <w:bCs/>
          <w:sz w:val="30"/>
          <w:szCs w:val="30"/>
        </w:rPr>
      </w:pPr>
      <w:r>
        <w:rPr>
          <w:rFonts w:hint="eastAsia" w:ascii="仿宋_GB2312" w:eastAsia="仿宋_GB2312"/>
          <w:sz w:val="30"/>
          <w:szCs w:val="30"/>
        </w:rPr>
        <w:t xml:space="preserve">  </w:t>
      </w:r>
      <w:r>
        <w:rPr>
          <w:rFonts w:hint="eastAsia" w:ascii="仿宋_GB2312" w:eastAsia="仿宋_GB2312"/>
          <w:b/>
          <w:bCs/>
          <w:sz w:val="30"/>
          <w:szCs w:val="30"/>
        </w:rPr>
        <w:t xml:space="preserve"> </w:t>
      </w:r>
      <w:r>
        <w:rPr>
          <w:rFonts w:hint="eastAsia" w:ascii="仿宋_GB2312" w:eastAsia="仿宋_GB2312"/>
          <w:sz w:val="30"/>
          <w:szCs w:val="30"/>
        </w:rPr>
        <w:t>贵州航天医院呼吸综合楼负一楼磁共振区域和智慧后勤管理中心办公场所建设项目。</w:t>
      </w:r>
      <w:r>
        <w:rPr>
          <w:rFonts w:hint="eastAsia" w:ascii="仿宋_GB2312" w:eastAsia="仿宋_GB2312"/>
          <w:b/>
          <w:bCs/>
          <w:sz w:val="30"/>
          <w:szCs w:val="30"/>
        </w:rPr>
        <w:t>　</w:t>
      </w:r>
    </w:p>
    <w:p w14:paraId="44E39D74">
      <w:pPr>
        <w:spacing w:line="360" w:lineRule="auto"/>
        <w:ind w:firstLine="602" w:firstLineChars="200"/>
        <w:rPr>
          <w:rFonts w:hint="eastAsia" w:ascii="仿宋_GB2312" w:hAnsi="宋体" w:eastAsia="仿宋_GB2312"/>
          <w:b/>
          <w:bCs/>
          <w:sz w:val="30"/>
          <w:szCs w:val="30"/>
        </w:rPr>
      </w:pPr>
    </w:p>
    <w:p w14:paraId="432FBFF3">
      <w:pPr>
        <w:spacing w:line="360" w:lineRule="auto"/>
        <w:ind w:firstLine="602" w:firstLineChars="200"/>
        <w:rPr>
          <w:rFonts w:hint="eastAsia" w:ascii="仿宋_GB2312" w:hAnsi="宋体" w:eastAsia="仿宋_GB2312"/>
          <w:b/>
          <w:bCs/>
          <w:color w:val="FF0000"/>
          <w:sz w:val="30"/>
          <w:szCs w:val="30"/>
          <w:lang w:eastAsia="zh-CN"/>
        </w:rPr>
      </w:pPr>
      <w:r>
        <w:rPr>
          <w:rFonts w:hint="eastAsia" w:ascii="仿宋_GB2312" w:hAnsi="宋体" w:eastAsia="仿宋_GB2312"/>
          <w:b/>
          <w:bCs/>
          <w:sz w:val="30"/>
          <w:szCs w:val="30"/>
        </w:rPr>
        <w:t>三、 合同一般条款</w:t>
      </w:r>
      <w:r>
        <w:rPr>
          <w:rFonts w:hint="eastAsia" w:ascii="仿宋_GB2312" w:hAnsi="宋体" w:eastAsia="仿宋_GB2312"/>
          <w:b/>
          <w:bCs/>
          <w:color w:val="FF0000"/>
          <w:sz w:val="30"/>
          <w:szCs w:val="30"/>
          <w:lang w:val="en-US" w:eastAsia="zh-CN"/>
        </w:rPr>
        <w:t xml:space="preserve"> </w:t>
      </w:r>
    </w:p>
    <w:p w14:paraId="2C181485">
      <w:pPr>
        <w:spacing w:line="360" w:lineRule="auto"/>
        <w:ind w:firstLine="600" w:firstLineChars="200"/>
        <w:rPr>
          <w:rFonts w:hint="default" w:ascii="仿宋_GB2312" w:hAnsi="宋体" w:eastAsia="仿宋_GB2312"/>
          <w:color w:val="FF0000"/>
          <w:sz w:val="30"/>
          <w:szCs w:val="30"/>
          <w:lang w:val="en-US" w:eastAsia="zh-CN"/>
        </w:rPr>
      </w:pPr>
      <w:r>
        <w:rPr>
          <w:rFonts w:hint="eastAsia" w:ascii="仿宋_GB2312" w:eastAsia="仿宋_GB2312"/>
          <w:sz w:val="30"/>
          <w:szCs w:val="30"/>
          <w:lang w:val="en-US" w:eastAsia="zh-CN"/>
        </w:rPr>
        <w:t>结算方式：中标后乙方提供甲方认可的方案及施工图，甲方根据施工图</w:t>
      </w:r>
      <w:r>
        <w:rPr>
          <w:rFonts w:hint="eastAsia" w:ascii="仿宋_GB2312" w:eastAsia="仿宋_GB2312"/>
          <w:sz w:val="30"/>
          <w:szCs w:val="30"/>
        </w:rPr>
        <w:t>及已标价工程量清单</w:t>
      </w:r>
      <w:r>
        <w:rPr>
          <w:rFonts w:hint="eastAsia" w:ascii="仿宋_GB2312" w:eastAsia="仿宋_GB2312"/>
          <w:sz w:val="30"/>
          <w:szCs w:val="30"/>
          <w:lang w:val="en-US" w:eastAsia="zh-CN"/>
        </w:rPr>
        <w:t>进行结算，以结算审计结果为准，且结算总价不得超过中标价。</w:t>
      </w:r>
    </w:p>
    <w:p w14:paraId="1C5666A2">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费用支付：工程验收合格后支付97%，剩余3%质保期结束后支付。</w:t>
      </w:r>
    </w:p>
    <w:p w14:paraId="6F7E4013">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工期奖罚：工期提前不给奖励。因乙方的原因造成延误工期的，罚款以每天500元计算，总额不超过合同价的10%。</w:t>
      </w:r>
    </w:p>
    <w:p w14:paraId="39971755">
      <w:pPr>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设计要求：本项目在满足国家规范(标准)前提下，按限额设计，设计标准不得超过中标价。</w:t>
      </w:r>
    </w:p>
    <w:p w14:paraId="7E53487B">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质量等级要求：</w:t>
      </w:r>
      <w:r>
        <w:rPr>
          <w:rFonts w:hint="eastAsia" w:ascii="仿宋_GB2312" w:eastAsia="仿宋_GB2312"/>
          <w:sz w:val="30"/>
          <w:szCs w:val="30"/>
          <w:lang w:val="en-US" w:eastAsia="zh-CN"/>
        </w:rPr>
        <w:t>本项目消防设计及施工必须达到国家相关标准及要求，若达不到造成的所有后果由乙方承担；</w:t>
      </w:r>
      <w:r>
        <w:rPr>
          <w:rFonts w:hint="eastAsia" w:ascii="仿宋_GB2312" w:hAnsi="宋体" w:eastAsia="仿宋_GB2312"/>
          <w:sz w:val="30"/>
          <w:szCs w:val="30"/>
        </w:rPr>
        <w:t>工程质量必须按国家现行评定标准达到合格及以上</w:t>
      </w:r>
      <w:r>
        <w:rPr>
          <w:rFonts w:hint="eastAsia" w:ascii="仿宋_GB2312" w:hAnsi="宋体" w:eastAsia="仿宋_GB2312"/>
          <w:sz w:val="30"/>
          <w:szCs w:val="30"/>
          <w:lang w:eastAsia="zh-CN"/>
        </w:rPr>
        <w:t>，</w:t>
      </w:r>
      <w:r>
        <w:rPr>
          <w:rFonts w:hint="eastAsia" w:ascii="仿宋_GB2312" w:hAnsi="宋体" w:eastAsia="仿宋_GB2312"/>
          <w:sz w:val="30"/>
          <w:szCs w:val="30"/>
        </w:rPr>
        <w:t>若达不到罚工程合同价的1%，并视为中标单位违约。</w:t>
      </w:r>
    </w:p>
    <w:p w14:paraId="2E68D467">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设计变更：必须经甲方两人以上的签字认可的设计变更为有效变更，变更价款按标书预算单价计算。标书中无此内容的按相似工程内容单价计算方法核算单价计算。</w:t>
      </w:r>
    </w:p>
    <w:p w14:paraId="0F02134C">
      <w:pPr>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质保期限：2年。</w:t>
      </w:r>
    </w:p>
    <w:p w14:paraId="7255230D">
      <w:pPr>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工程分包：乙方不准分包。</w:t>
      </w:r>
    </w:p>
    <w:p w14:paraId="2F1384E0">
      <w:pPr>
        <w:ind w:firstLine="600" w:firstLineChars="200"/>
        <w:rPr>
          <w:rFonts w:hint="eastAsia"/>
          <w:lang w:val="en-US" w:eastAsia="zh-CN"/>
        </w:rPr>
      </w:pPr>
      <w:r>
        <w:rPr>
          <w:rFonts w:hint="eastAsia" w:ascii="仿宋_GB2312" w:hAnsi="宋体" w:eastAsia="仿宋_GB2312"/>
          <w:sz w:val="30"/>
          <w:szCs w:val="30"/>
        </w:rPr>
        <w:t>违约：中标单位不能履行合同或招标文件约定的确认违约条件或不能满足工程质量、工期要求则确认为中标单位违约，违约造成的损失按照直接损失和可以预见的损失计算，由乙方负责赔偿。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GIyYzRmM2UxZmNkODZkMDJkYjFlMjYyODA1YTcifQ=="/>
  </w:docVars>
  <w:rsids>
    <w:rsidRoot w:val="24D2209E"/>
    <w:rsid w:val="00494ACE"/>
    <w:rsid w:val="007B265A"/>
    <w:rsid w:val="00A55D11"/>
    <w:rsid w:val="00DA5D87"/>
    <w:rsid w:val="038141F9"/>
    <w:rsid w:val="05C83698"/>
    <w:rsid w:val="0B130C52"/>
    <w:rsid w:val="0BB574E9"/>
    <w:rsid w:val="0C883C5D"/>
    <w:rsid w:val="0DF72211"/>
    <w:rsid w:val="0F227162"/>
    <w:rsid w:val="0FE13788"/>
    <w:rsid w:val="0FF705D0"/>
    <w:rsid w:val="10A62A18"/>
    <w:rsid w:val="16373051"/>
    <w:rsid w:val="165E7E7E"/>
    <w:rsid w:val="195542AB"/>
    <w:rsid w:val="1A120022"/>
    <w:rsid w:val="1AE22727"/>
    <w:rsid w:val="1C042A1F"/>
    <w:rsid w:val="1C915908"/>
    <w:rsid w:val="20784C33"/>
    <w:rsid w:val="222F59A7"/>
    <w:rsid w:val="24D2209E"/>
    <w:rsid w:val="26AF70B6"/>
    <w:rsid w:val="26B72AA4"/>
    <w:rsid w:val="2B202C91"/>
    <w:rsid w:val="2D684463"/>
    <w:rsid w:val="2D7D23EE"/>
    <w:rsid w:val="2DF60F5E"/>
    <w:rsid w:val="2E3178A3"/>
    <w:rsid w:val="2F257DA7"/>
    <w:rsid w:val="2F80457E"/>
    <w:rsid w:val="309774C6"/>
    <w:rsid w:val="349E5471"/>
    <w:rsid w:val="38D526E1"/>
    <w:rsid w:val="394B75AF"/>
    <w:rsid w:val="3C2B5111"/>
    <w:rsid w:val="3D9D28EF"/>
    <w:rsid w:val="3DA7680A"/>
    <w:rsid w:val="3EBB4364"/>
    <w:rsid w:val="410B5D24"/>
    <w:rsid w:val="424F55A4"/>
    <w:rsid w:val="461E3079"/>
    <w:rsid w:val="46A139FD"/>
    <w:rsid w:val="481007AD"/>
    <w:rsid w:val="49E17296"/>
    <w:rsid w:val="4AC86916"/>
    <w:rsid w:val="4D8E366A"/>
    <w:rsid w:val="4E8C54B1"/>
    <w:rsid w:val="4EC10F8B"/>
    <w:rsid w:val="4EDA651C"/>
    <w:rsid w:val="4FA749BF"/>
    <w:rsid w:val="4FDE15A9"/>
    <w:rsid w:val="503C735D"/>
    <w:rsid w:val="50D31676"/>
    <w:rsid w:val="51051655"/>
    <w:rsid w:val="51277097"/>
    <w:rsid w:val="51983E64"/>
    <w:rsid w:val="52816664"/>
    <w:rsid w:val="52A05BEE"/>
    <w:rsid w:val="52A13E2E"/>
    <w:rsid w:val="54D97240"/>
    <w:rsid w:val="59D83304"/>
    <w:rsid w:val="5BE56AFB"/>
    <w:rsid w:val="60F65306"/>
    <w:rsid w:val="6105633A"/>
    <w:rsid w:val="63B25E95"/>
    <w:rsid w:val="6523006D"/>
    <w:rsid w:val="657A75C8"/>
    <w:rsid w:val="6604073B"/>
    <w:rsid w:val="66102866"/>
    <w:rsid w:val="66D31996"/>
    <w:rsid w:val="688F3EA6"/>
    <w:rsid w:val="69887333"/>
    <w:rsid w:val="69F824A3"/>
    <w:rsid w:val="6A454942"/>
    <w:rsid w:val="6B3A2A32"/>
    <w:rsid w:val="6B6A0DCB"/>
    <w:rsid w:val="6CFB554B"/>
    <w:rsid w:val="6DD4443F"/>
    <w:rsid w:val="6F5349A1"/>
    <w:rsid w:val="719F1EF7"/>
    <w:rsid w:val="72212F9D"/>
    <w:rsid w:val="73075151"/>
    <w:rsid w:val="75A27EE8"/>
    <w:rsid w:val="782E6441"/>
    <w:rsid w:val="7BB3231A"/>
    <w:rsid w:val="7BC07DBF"/>
    <w:rsid w:val="7D3B1B2A"/>
    <w:rsid w:val="7F2006B1"/>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3"/>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4"/>
    <w:basedOn w:val="1"/>
    <w:next w:val="1"/>
    <w:autoRedefine/>
    <w:qFormat/>
    <w:uiPriority w:val="0"/>
    <w:pPr>
      <w:keepNext/>
      <w:keepLines/>
      <w:spacing w:before="120" w:after="120" w:line="360" w:lineRule="auto"/>
      <w:outlineLvl w:val="3"/>
    </w:pPr>
    <w:rPr>
      <w:rFonts w:ascii="Arial" w:hAnsi="Arial" w:eastAsia="宋体" w:cs="Times New Roman"/>
      <w:b/>
      <w:bCs/>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6">
    <w:name w:val="Normal Indent"/>
    <w:basedOn w:val="1"/>
    <w:qFormat/>
    <w:uiPriority w:val="0"/>
    <w:pPr>
      <w:ind w:firstLine="420"/>
    </w:pPr>
  </w:style>
  <w:style w:type="paragraph" w:styleId="7">
    <w:name w:val="Body Text"/>
    <w:basedOn w:val="1"/>
    <w:autoRedefine/>
    <w:qFormat/>
    <w:uiPriority w:val="99"/>
    <w:pPr>
      <w:spacing w:before="0" w:beforeLines="0" w:after="0" w:afterLines="0" w:line="240" w:lineRule="auto"/>
      <w:ind w:firstLine="0" w:firstLineChars="0"/>
    </w:pPr>
    <w:rPr>
      <w:rFonts w:ascii="Helvetica" w:hAnsi="Helvetica" w:eastAsia="黑体" w:cs="Times New Roman"/>
      <w:i/>
      <w:iCs/>
      <w:sz w:val="21"/>
      <w:szCs w:val="20"/>
    </w:rPr>
  </w:style>
  <w:style w:type="paragraph" w:styleId="8">
    <w:name w:val="Body Text Indent"/>
    <w:basedOn w:val="1"/>
    <w:autoRedefine/>
    <w:qFormat/>
    <w:uiPriority w:val="0"/>
    <w:pPr>
      <w:spacing w:after="120" w:afterLines="0"/>
      <w:ind w:left="420" w:leftChars="200"/>
    </w:pPr>
  </w:style>
  <w:style w:type="paragraph" w:styleId="9">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0">
    <w:name w:val="footer"/>
    <w:basedOn w:val="1"/>
    <w:link w:val="24"/>
    <w:autoRedefine/>
    <w:qFormat/>
    <w:uiPriority w:val="0"/>
    <w:pPr>
      <w:tabs>
        <w:tab w:val="center" w:pos="4513"/>
        <w:tab w:val="right" w:pos="9026"/>
      </w:tabs>
      <w:snapToGrid w:val="0"/>
      <w:jc w:val="left"/>
    </w:pPr>
    <w:rPr>
      <w:sz w:val="18"/>
      <w:szCs w:val="18"/>
    </w:rPr>
  </w:style>
  <w:style w:type="paragraph" w:styleId="11">
    <w:name w:val="header"/>
    <w:basedOn w:val="1"/>
    <w:link w:val="23"/>
    <w:autoRedefine/>
    <w:qFormat/>
    <w:uiPriority w:val="0"/>
    <w:pPr>
      <w:tabs>
        <w:tab w:val="center" w:pos="4513"/>
        <w:tab w:val="right" w:pos="9026"/>
      </w:tabs>
      <w:snapToGrid w:val="0"/>
      <w:jc w:val="center"/>
    </w:pPr>
    <w:rPr>
      <w:sz w:val="18"/>
      <w:szCs w:val="18"/>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13">
    <w:name w:val="Title"/>
    <w:basedOn w:val="1"/>
    <w:autoRedefine/>
    <w:qFormat/>
    <w:uiPriority w:val="0"/>
    <w:pPr>
      <w:spacing w:before="240" w:after="60"/>
      <w:jc w:val="center"/>
      <w:outlineLvl w:val="0"/>
    </w:pPr>
    <w:rPr>
      <w:rFonts w:ascii="Arial" w:hAnsi="Arial" w:cs="Times New Roman"/>
      <w:b/>
      <w:sz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
    <w:qFormat/>
    <w:uiPriority w:val="0"/>
    <w:pPr>
      <w:keepNext/>
      <w:keepLines/>
      <w:spacing w:beforeLines="50" w:afterLines="50" w:line="360" w:lineRule="exact"/>
      <w:ind w:firstLine="200" w:firstLineChars="200"/>
    </w:pPr>
    <w:rPr>
      <w:rFonts w:ascii="仿宋_GB2312" w:hAnsi="宋体" w:eastAsia="仿宋_GB2312" w:cs="Times New Roman"/>
      <w:color w:val="000000"/>
      <w:sz w:val="24"/>
      <w:szCs w:val="30"/>
      <w:lang w:val="en-GB" w:eastAsia="zh-CN" w:bidi="ar-SA"/>
    </w:rPr>
  </w:style>
  <w:style w:type="paragraph" w:customStyle="1" w:styleId="18">
    <w:name w:val="1"/>
    <w:basedOn w:val="1"/>
    <w:next w:val="8"/>
    <w:autoRedefine/>
    <w:qFormat/>
    <w:uiPriority w:val="0"/>
    <w:pPr>
      <w:widowControl w:val="0"/>
      <w:jc w:val="both"/>
    </w:pPr>
    <w:rPr>
      <w:rFonts w:ascii="宋体" w:hAnsi="Courier New"/>
      <w:kern w:val="2"/>
    </w:rPr>
  </w:style>
  <w:style w:type="paragraph" w:customStyle="1" w:styleId="19">
    <w:name w:val="font5"/>
    <w:basedOn w:val="1"/>
    <w:autoRedefine/>
    <w:qFormat/>
    <w:uiPriority w:val="0"/>
    <w:pPr>
      <w:spacing w:before="100" w:beforeLines="0" w:beforeAutospacing="1" w:after="100" w:afterLines="0" w:afterAutospacing="1"/>
    </w:pPr>
    <w:rPr>
      <w:rFonts w:ascii="宋体" w:hAnsi="宋体" w:cs="宋体"/>
      <w:sz w:val="18"/>
      <w:szCs w:val="18"/>
    </w:rPr>
  </w:style>
  <w:style w:type="paragraph" w:customStyle="1" w:styleId="20">
    <w:name w:val="表格文字"/>
    <w:basedOn w:val="1"/>
    <w:autoRedefine/>
    <w:qFormat/>
    <w:uiPriority w:val="0"/>
    <w:pPr>
      <w:spacing w:before="25" w:after="25"/>
    </w:pPr>
    <w:rPr>
      <w:bCs/>
      <w:spacing w:val="10"/>
      <w:kern w:val="0"/>
    </w:rPr>
  </w:style>
  <w:style w:type="paragraph" w:customStyle="1" w:styleId="21">
    <w:name w:val="Default"/>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22">
    <w:name w:val="No Spacing"/>
    <w:autoRedefine/>
    <w:qFormat/>
    <w:uiPriority w:val="1"/>
    <w:rPr>
      <w:rFonts w:ascii="Calibri" w:hAnsi="Calibri" w:eastAsia="宋体" w:cs="Times New Roman"/>
      <w:sz w:val="22"/>
      <w:szCs w:val="22"/>
      <w:lang w:val="en-US" w:eastAsia="zh-CN" w:bidi="ar-SA"/>
    </w:rPr>
  </w:style>
  <w:style w:type="character" w:customStyle="1" w:styleId="23">
    <w:name w:val="页眉 字符"/>
    <w:basedOn w:val="16"/>
    <w:link w:val="11"/>
    <w:autoRedefine/>
    <w:qFormat/>
    <w:uiPriority w:val="0"/>
    <w:rPr>
      <w:rFonts w:ascii="Calibri" w:hAnsi="Calibri" w:eastAsia="宋体" w:cs="Times New Roman"/>
      <w:kern w:val="2"/>
      <w:sz w:val="18"/>
      <w:szCs w:val="18"/>
    </w:rPr>
  </w:style>
  <w:style w:type="character" w:customStyle="1" w:styleId="24">
    <w:name w:val="页脚 字符"/>
    <w:basedOn w:val="16"/>
    <w:link w:val="10"/>
    <w:autoRedefine/>
    <w:qFormat/>
    <w:uiPriority w:val="0"/>
    <w:rPr>
      <w:rFonts w:ascii="Calibri" w:hAnsi="Calibri" w:eastAsia="宋体" w:cs="Times New Roman"/>
      <w:kern w:val="2"/>
      <w:sz w:val="18"/>
      <w:szCs w:val="18"/>
    </w:rPr>
  </w:style>
  <w:style w:type="paragraph" w:customStyle="1" w:styleId="25">
    <w:name w:val="Body text|1"/>
    <w:basedOn w:val="1"/>
    <w:autoRedefine/>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26">
    <w:name w:val="Other|1"/>
    <w:basedOn w:val="1"/>
    <w:autoRedefine/>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27">
    <w:name w:val="List Paragraph"/>
    <w:basedOn w:val="1"/>
    <w:autoRedefine/>
    <w:qFormat/>
    <w:uiPriority w:val="34"/>
    <w:pPr>
      <w:ind w:firstLine="420" w:firstLineChars="200"/>
    </w:pPr>
  </w:style>
  <w:style w:type="paragraph" w:customStyle="1" w:styleId="28">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9">
    <w:name w:val="正文_0"/>
    <w:autoRedefine/>
    <w:qFormat/>
    <w:uiPriority w:val="0"/>
    <w:pPr>
      <w:widowControl w:val="0"/>
      <w:jc w:val="both"/>
    </w:pPr>
    <w:rPr>
      <w:rFonts w:ascii="Times New Roman" w:hAnsi="Times New Roman" w:eastAsia="微软雅黑" w:cs="Times New Roman"/>
      <w:kern w:val="2"/>
      <w:sz w:val="21"/>
      <w:lang w:val="en-US" w:eastAsia="zh-CN" w:bidi="ar-SA"/>
    </w:rPr>
  </w:style>
  <w:style w:type="paragraph" w:customStyle="1" w:styleId="30">
    <w:name w:val="Plain Text"/>
    <w:basedOn w:val="1"/>
    <w:qFormat/>
    <w:uiPriority w:val="0"/>
    <w:rPr>
      <w:rFonts w:ascii="宋体" w:hAnsi="Courier New"/>
      <w:sz w:val="24"/>
      <w:szCs w:val="20"/>
    </w:rPr>
  </w:style>
  <w:style w:type="paragraph" w:customStyle="1" w:styleId="31">
    <w:name w:val="Date"/>
    <w:basedOn w:val="1"/>
    <w:next w:val="1"/>
    <w:qFormat/>
    <w:uiPriority w:val="0"/>
    <w:rPr>
      <w:rFonts w:ascii="Arial" w:hAnsi="Arial" w:eastAsia="KaiTi_GB2312"/>
      <w:sz w:val="28"/>
      <w:szCs w:val="20"/>
    </w:rPr>
  </w:style>
  <w:style w:type="paragraph" w:customStyle="1" w:styleId="32">
    <w:name w:val="列出段落1"/>
    <w:basedOn w:val="1"/>
    <w:qFormat/>
    <w:uiPriority w:val="34"/>
    <w:pPr>
      <w:ind w:firstLine="420" w:firstLineChars="200"/>
      <w:jc w:val="left"/>
    </w:pPr>
    <w:rPr>
      <w:rFonts w:ascii="Courier New" w:hAnsi="Courier New"/>
      <w:snapToGrid w:val="0"/>
      <w:kern w:val="0"/>
      <w:sz w:val="24"/>
      <w:szCs w:val="20"/>
      <w:lang w:eastAsia="en-US"/>
    </w:rPr>
  </w:style>
  <w:style w:type="character" w:customStyle="1" w:styleId="33">
    <w:name w:val="标题 2 Char"/>
    <w:basedOn w:val="16"/>
    <w:link w:val="3"/>
    <w:autoRedefine/>
    <w:qFormat/>
    <w:uiPriority w:val="9"/>
    <w:rPr>
      <w:rFonts w:ascii="Arial" w:hAnsi="Arial" w:eastAsia="黑体"/>
      <w:b/>
      <w:bCs/>
      <w:sz w:val="32"/>
      <w:szCs w:val="32"/>
    </w:rPr>
  </w:style>
  <w:style w:type="paragraph" w:customStyle="1" w:styleId="34">
    <w:name w:val="表格标题"/>
    <w:basedOn w:val="1"/>
    <w:qFormat/>
    <w:uiPriority w:val="0"/>
    <w:pPr>
      <w:jc w:val="center"/>
    </w:pPr>
    <w:rPr>
      <w:rFonts w:eastAsia="仿宋_GB2312" w:cs="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2159</Words>
  <Characters>2232</Characters>
  <Lines>8</Lines>
  <Paragraphs>2</Paragraphs>
  <TotalTime>0</TotalTime>
  <ScaleCrop>false</ScaleCrop>
  <LinksUpToDate>false</LinksUpToDate>
  <CharactersWithSpaces>2347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农人</cp:lastModifiedBy>
  <dcterms:modified xsi:type="dcterms:W3CDTF">2026-02-28T08:09:16Z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0CED143C94A34BBAA008341C132A35D9_13</vt:lpwstr>
  </property>
  <property fmtid="{D5CDD505-2E9C-101B-9397-08002B2CF9AE}" pid="4" name="KSOTemplateDocerSaveRecord">
    <vt:lpwstr>eyJoZGlkIjoiZTYyMDczZGRhZjNiZjg5MTJhMWY4ZmJkZjE0ODlhZjQiLCJ1c2VySWQiOiIyNzE2NTk1MjcifQ==</vt:lpwstr>
  </property>
</Properties>
</file>