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急诊科医疗设备一批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急诊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科医疗设备一批（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需胶装，内含目录及页码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附件1：急诊科采购设备名称及数量</w:t>
      </w:r>
    </w:p>
    <w:tbl>
      <w:tblPr>
        <w:tblStyle w:val="14"/>
        <w:tblW w:w="53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941"/>
        <w:gridCol w:w="2525"/>
        <w:gridCol w:w="1327"/>
        <w:gridCol w:w="1027"/>
        <w:gridCol w:w="1476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2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  <w:p w14:paraId="317FBAD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（分项投标）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心电图机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39300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1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无创呼吸机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A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136900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6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可视喉镜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0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EB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高流量呼吸机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56900</w:t>
            </w:r>
            <w:bookmarkStart w:id="0" w:name="_GoBack"/>
            <w:bookmarkEnd w:id="0"/>
          </w:p>
        </w:tc>
      </w:tr>
    </w:tbl>
    <w:p w14:paraId="2B1DF662">
      <w:pPr>
        <w:pStyle w:val="9"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B63D9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1750E1B5">
      <w:pPr>
        <w:pStyle w:val="9"/>
        <w:spacing w:before="0" w:beforeAutospacing="0" w:after="0" w:afterAutospacing="0" w:line="440" w:lineRule="exact"/>
        <w:jc w:val="center"/>
        <w:rPr>
          <w:rFonts w:hint="default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需提供参数偏离表）</w:t>
      </w:r>
    </w:p>
    <w:p w14:paraId="070572F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心电图机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62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6" w:type="dxa"/>
            <w:vAlign w:val="center"/>
          </w:tcPr>
          <w:p w14:paraId="481164E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7AA8C807">
            <w:pPr>
              <w:spacing w:line="360" w:lineRule="auto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心电图机</w:t>
            </w:r>
          </w:p>
        </w:tc>
      </w:tr>
      <w:tr w14:paraId="77D8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2" w:hRule="atLeast"/>
        </w:trPr>
        <w:tc>
          <w:tcPr>
            <w:tcW w:w="2706" w:type="dxa"/>
            <w:vAlign w:val="center"/>
          </w:tcPr>
          <w:p w14:paraId="63545A2C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1A65ECBA">
            <w:pPr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</w:p>
          <w:p w14:paraId="51C3011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设备应用场景：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急诊抢救室及院前急救</w:t>
            </w:r>
          </w:p>
          <w:p w14:paraId="192389EE"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主要参数：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（1）产品的电源插头符合中国标准，无需适配器；</w:t>
            </w:r>
          </w:p>
          <w:p w14:paraId="1CEB1831">
            <w:pPr>
              <w:numPr>
                <w:ilvl w:val="0"/>
                <w:numId w:val="0"/>
              </w:numPr>
              <w:spacing w:line="276" w:lineRule="auto"/>
              <w:ind w:left="0" w:lef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标准12 导联心电信号同步采集；具有心电图自动报告功能。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3）≥4英寸彩色液晶触摸显示屏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4）热敏式点阵打印机；走纸速度：12.5、25、50 mm/s ；</w:t>
            </w:r>
          </w:p>
          <w:p w14:paraId="4D079040">
            <w:pPr>
              <w:numPr>
                <w:ilvl w:val="0"/>
                <w:numId w:val="0"/>
              </w:numPr>
              <w:spacing w:line="276" w:lineRule="auto"/>
              <w:ind w:left="0" w:lef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5）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记录纸规格：支持折叠纸打印，打印纸宽度为：210mm；打印方式：手动、自动、节律；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6）具有导联连接示意图,能准确判定接触不良的电极，提示各个导联脱落的信息；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7）内置锂电池</w:t>
            </w:r>
          </w:p>
          <w:p w14:paraId="7EA6F120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8）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可打印不少于500份自动报告，或不小于2小时连续记录。</w:t>
            </w:r>
          </w:p>
          <w:p w14:paraId="3F68E04C">
            <w:pPr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9）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具有心电图自动报告功能</w:t>
            </w:r>
          </w:p>
          <w:p w14:paraId="0AA649AC">
            <w:pP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3.软件功能配置：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1）产品的电源插头符合中国标准，无需适配器；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2）标准12 导联心电信号同步采集；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3）触屏设计：同屏显示12 导同步心电波形；显示内容应包含波形、心率、导联、走纸速度、增益、滤波器、时间、电池电量指示、信息提示区等；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4）热敏式点阵打印机；打印方式：手动、自动、节律；具有导联连接示意图,能准确判定接触不良的电极，提示各个导联脱落的信息；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5）内置锂电池：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6）可打印不少于500份自动报告，或不小于2小时连续记录。</w:t>
            </w:r>
          </w:p>
          <w:p w14:paraId="35D77D5D">
            <w:pP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标准12 导联心电信号同步采集、分析、储存、打印功能。内置锂电池连续工作时间大于4小时。内置热敏打印机。手动、自动、节律导联长时间记录模式。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5.售后要求：</w:t>
            </w:r>
          </w:p>
          <w:p w14:paraId="50CDA1C0">
            <w:pPr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整机质保大于3年。</w:t>
            </w:r>
          </w:p>
        </w:tc>
      </w:tr>
    </w:tbl>
    <w:p w14:paraId="3CDF009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81920A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0FEA50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9BB258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A645CE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0B84E4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14FE3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A6D1B1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166770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C513FFA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无创呼吸机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753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706" w:type="dxa"/>
            <w:vAlign w:val="center"/>
          </w:tcPr>
          <w:p w14:paraId="78B70320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55F0BAE9">
            <w:pPr>
              <w:spacing w:line="360" w:lineRule="auto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无创呼吸机</w:t>
            </w:r>
          </w:p>
        </w:tc>
      </w:tr>
      <w:tr w14:paraId="5C9E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1" w:hRule="atLeast"/>
        </w:trPr>
        <w:tc>
          <w:tcPr>
            <w:tcW w:w="2706" w:type="dxa"/>
            <w:vAlign w:val="center"/>
          </w:tcPr>
          <w:p w14:paraId="49084CEE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0D92D010">
            <w:pPr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</w:p>
          <w:p w14:paraId="3FADA02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设备应用场景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急诊抢救室、病房、EICU。</w:t>
            </w:r>
          </w:p>
          <w:p w14:paraId="48D00A7B">
            <w:pPr>
              <w:pStyle w:val="12"/>
              <w:widowControl/>
              <w:numPr>
                <w:ilvl w:val="0"/>
                <w:numId w:val="0"/>
              </w:numPr>
              <w:spacing w:beforeAutospacing="0" w:after="150" w:afterAutospacing="0" w:line="435" w:lineRule="atLeast"/>
              <w:ind w:left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主要参数：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1）适用于对成人和小儿患者进行通气辅助及呼吸支持。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2）采用≥15英寸高清触摸屏。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3）内置后备可充电锂电池≥180分钟。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4）通气模式：具有持续气道正压通气模式（CPAP）；自主模式（S）；自主/时控模式（S/T）；T（时控）；压力控制模式(PCV)；容量保证压力支持模式（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Hans" w:bidi="ar-SA"/>
              </w:rPr>
              <w:t>VAPS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）；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Hans" w:bidi="ar-SA"/>
              </w:rPr>
              <w:t>容量保证时间控制模式（VG-T）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5）高流量氧疗：具备高流速氧疗功能；氧疗最大流速≥80L/min，具有氧疗计时功能。设置参数潮气量：50ml—2000ml持续气道正压CPAP4-25 cmH2O。IPAP4-50 cmH2OEPAP4-30 cmH2O呼吸频1-60次/min、吸气时间：0.3—5s吸入氧浓度：21%—100%、压力上升时间：1-3档可调。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6）监测参数：气道峰压、平均压、呼气末正压、潮气量、分钟通气量、病人端/总的分钟泄漏量、呼吸频率、病人触发百分比、吸气百分比等参数监测。报警参数：气道高压、气道低压、呼气末压力过高/过低、呼吸频率过高/过低、分钟通气量过高/过低。</w:t>
            </w:r>
          </w:p>
          <w:p w14:paraId="12971B86"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3.软件功能配置：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1）中文操作界面。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2）内置后备可充电锂电池≥180分钟。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3）通气模式：具有持续气道正压通气模式（CPAP）；自主模式（S）；自主/时控模式（S/T）。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4）核心安全报警设置，数据导出。</w:t>
            </w:r>
          </w:p>
          <w:p w14:paraId="61F32A5C"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1）具备报警设置。</w:t>
            </w:r>
          </w:p>
          <w:p w14:paraId="2B5F221E">
            <w:pPr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2）具备网络接口、USB接口等接口。</w:t>
            </w:r>
          </w:p>
        </w:tc>
      </w:tr>
    </w:tbl>
    <w:p w14:paraId="1B8A82F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6B038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可视喉镜</w:t>
      </w:r>
    </w:p>
    <w:tbl>
      <w:tblPr>
        <w:tblStyle w:val="1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7470"/>
      </w:tblGrid>
      <w:tr w14:paraId="11B0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665" w:type="dxa"/>
            <w:vAlign w:val="center"/>
          </w:tcPr>
          <w:p w14:paraId="2D03F3C1">
            <w:pPr>
              <w:spacing w:line="360" w:lineRule="auto"/>
              <w:jc w:val="center"/>
              <w:rPr>
                <w:rFonts w:hint="eastAsia"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7470" w:type="dxa"/>
            <w:vAlign w:val="center"/>
          </w:tcPr>
          <w:p w14:paraId="3C39678F">
            <w:pPr>
              <w:spacing w:line="360" w:lineRule="auto"/>
              <w:jc w:val="left"/>
              <w:rPr>
                <w:rFonts w:hint="default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可视喉镜</w:t>
            </w:r>
          </w:p>
        </w:tc>
      </w:tr>
      <w:tr w14:paraId="1BB6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665" w:type="dxa"/>
            <w:vAlign w:val="center"/>
          </w:tcPr>
          <w:p w14:paraId="6601FBE2">
            <w:pPr>
              <w:snapToGrid w:val="0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7470" w:type="dxa"/>
          </w:tcPr>
          <w:p w14:paraId="72C51EB8">
            <w:pPr>
              <w:numPr>
                <w:ilvl w:val="0"/>
                <w:numId w:val="0"/>
              </w:numPr>
              <w:snapToGrid w:val="0"/>
              <w:rPr>
                <w:b/>
                <w:bCs/>
                <w:sz w:val="24"/>
              </w:rPr>
            </w:pPr>
          </w:p>
          <w:p w14:paraId="6B1C4751"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4"/>
                <w:szCs w:val="24"/>
              </w:rPr>
              <w:t>设备应用场景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急诊抢救室、院前急救及EICU。</w:t>
            </w:r>
          </w:p>
          <w:p w14:paraId="227D9D51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主要参数：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（1）摄像头像素200万，镜头分辨率600LW/PH,视场角≥60°，光照度≥400lX；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（2）电池：3200mAh锂离子可充电池，电压3.7V，充电时间4H，持续工作时间≥200min；</w:t>
            </w:r>
          </w:p>
          <w:p w14:paraId="790D161E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（3）防雾功能：无需预热，开机即可防雾；喉镜片为316医用不锈钢材质，坚固耐用，有效避免折弯、折断的风险；</w:t>
            </w:r>
          </w:p>
          <w:p w14:paraId="2AA1F0AA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（4）自动调节光亮度及爆光度。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（5）防雾功能。</w:t>
            </w:r>
          </w:p>
          <w:p w14:paraId="0B5AF97D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（6）持续工作时间≥200min。</w:t>
            </w:r>
          </w:p>
          <w:p w14:paraId="1D3ED051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配置要求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（1）主机显示屏可多角度旋转；</w:t>
            </w:r>
          </w:p>
          <w:p w14:paraId="26C46C3B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（2）显示屏：LCD≥3.5寸全视角无眩光，分辨率≥640*480；视频宽高比4:3，屏幕可前后旋转≥120°、左右≥120°；</w:t>
            </w:r>
          </w:p>
          <w:p w14:paraId="41CAAF2A"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（3）一台主机配1个规格喉镜片；整机重量：≤350g。</w:t>
            </w:r>
          </w:p>
        </w:tc>
      </w:tr>
    </w:tbl>
    <w:p w14:paraId="1C3CC95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54D4E7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single" w:color="auto" w:sz="4" w:space="0"/>
        </w:pBdr>
        <w:spacing w:line="240" w:lineRule="auto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8B917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四、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高流量呼吸机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7491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06" w:type="dxa"/>
            <w:vAlign w:val="center"/>
          </w:tcPr>
          <w:p w14:paraId="4E441B9B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2152390A">
            <w:pPr>
              <w:spacing w:line="360" w:lineRule="auto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高流量呼吸机</w:t>
            </w:r>
          </w:p>
        </w:tc>
      </w:tr>
      <w:tr w14:paraId="1E8D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2706" w:type="dxa"/>
            <w:vAlign w:val="center"/>
          </w:tcPr>
          <w:p w14:paraId="4836C694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11CEB595">
            <w:pPr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</w:p>
          <w:p w14:paraId="059424D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设备应用场景：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急诊抢救室、急诊病房及EICU</w:t>
            </w:r>
          </w:p>
          <w:p w14:paraId="1DB3812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2.主要参数：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可调节流量设置范围不小于：2～80L/Min；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可调节氧浓度设置和监测范围：21%～100%；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可调节温度31℃-37℃；有氧流量、浓度及水温显示及报警功能。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3.软件功能配置：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4.3英寸触摸显示屏；</w:t>
            </w:r>
          </w:p>
          <w:p w14:paraId="0BFE2EB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（2)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内置电子空氧混合系统，氧浓度设置和监测范围：21%～100%；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采用高性能涡轮驱动，无需压缩空气源；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温度设置范围：儿童模式：34℃±，成人模式：31℃-37℃；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具有待机界面、通气界面、配置界面三种不同的显示界面。</w:t>
            </w:r>
          </w:p>
          <w:p w14:paraId="1A1AA3A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流量设置范围不小于：2～80L/Min；</w:t>
            </w:r>
          </w:p>
          <w:p w14:paraId="4FF742BE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24"/>
              </w:rPr>
              <w:t>配置要求：</w:t>
            </w:r>
            <w:r>
              <w:rPr>
                <w:rFonts w:hint="eastAsia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（1)具备独立氧气接口，具有物理旋钮及快速按键，可调节氧流量及氧浓度及水温，具有主动式电热湿化罐。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（2)带加热丝的呼吸管路。有流量和压力传感器。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（3)具有报警设置。</w:t>
            </w:r>
          </w:p>
          <w:p w14:paraId="39B446F4">
            <w:pP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5.售后要求：</w:t>
            </w:r>
          </w:p>
          <w:p w14:paraId="1A3A6DBB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保修及免费升级＞3年。</w:t>
            </w:r>
          </w:p>
        </w:tc>
      </w:tr>
    </w:tbl>
    <w:p w14:paraId="72305DD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2EDAF"/>
    <w:multiLevelType w:val="singleLevel"/>
    <w:tmpl w:val="7012EDA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8970D02"/>
    <w:rsid w:val="0A8A6F01"/>
    <w:rsid w:val="0BB574E9"/>
    <w:rsid w:val="0BC67500"/>
    <w:rsid w:val="0DF33CF1"/>
    <w:rsid w:val="0DF72211"/>
    <w:rsid w:val="0F227162"/>
    <w:rsid w:val="0F5C08A7"/>
    <w:rsid w:val="10A62A18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22C3CB1"/>
    <w:rsid w:val="349E5471"/>
    <w:rsid w:val="38474F05"/>
    <w:rsid w:val="38D526E1"/>
    <w:rsid w:val="394B75AF"/>
    <w:rsid w:val="3AE27603"/>
    <w:rsid w:val="3C2B5111"/>
    <w:rsid w:val="3D626373"/>
    <w:rsid w:val="3DA7680A"/>
    <w:rsid w:val="3EEE1530"/>
    <w:rsid w:val="415648A7"/>
    <w:rsid w:val="41727207"/>
    <w:rsid w:val="42FA64DC"/>
    <w:rsid w:val="432D3572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88B036D"/>
    <w:rsid w:val="58FC1D80"/>
    <w:rsid w:val="59017396"/>
    <w:rsid w:val="5F6E75C9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3D6B6C"/>
    <w:rsid w:val="75742F72"/>
    <w:rsid w:val="75881A8D"/>
    <w:rsid w:val="782E6441"/>
    <w:rsid w:val="786646C8"/>
    <w:rsid w:val="7877401B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583</Words>
  <Characters>600</Characters>
  <Lines>8</Lines>
  <Paragraphs>2</Paragraphs>
  <TotalTime>46</TotalTime>
  <ScaleCrop>false</ScaleCrop>
  <LinksUpToDate>false</LinksUpToDate>
  <CharactersWithSpaces>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2026-03-05T02:19:38Z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064FAB06E9F44260A14971DDD899AF4F_13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