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口腔科医疗设备一批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口腔科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，评分方法见附件2、需提供技术参数偏离表（设备参数要求见附件3）</w:t>
            </w:r>
            <w:bookmarkStart w:id="0" w:name="_GoBack"/>
            <w:bookmarkEnd w:id="0"/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附件1：口腔科采购设备名称及数量</w:t>
      </w:r>
    </w:p>
    <w:tbl>
      <w:tblPr>
        <w:tblStyle w:val="14"/>
        <w:tblW w:w="58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3"/>
        <w:gridCol w:w="3373"/>
        <w:gridCol w:w="1472"/>
        <w:gridCol w:w="1158"/>
        <w:gridCol w:w="1070"/>
      </w:tblGrid>
      <w:tr w14:paraId="51C9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口腔科</w:t>
            </w:r>
          </w:p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（分项投标）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79F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牙科X射线机</w:t>
            </w:r>
          </w:p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（牙片机）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8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50000</w:t>
            </w:r>
          </w:p>
        </w:tc>
      </w:tr>
      <w:tr w14:paraId="4D89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00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40B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牙科微动力系统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0FE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857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264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30000</w:t>
            </w:r>
          </w:p>
        </w:tc>
      </w:tr>
      <w:tr w14:paraId="2F5A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B7D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B1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单反相机＋坏形闪光灯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51A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44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3F9F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15000</w:t>
            </w:r>
          </w:p>
        </w:tc>
      </w:tr>
      <w:tr w14:paraId="39A7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1A7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5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牙科种植机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EA3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C61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28A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40000</w:t>
            </w:r>
          </w:p>
        </w:tc>
      </w:tr>
      <w:tr w14:paraId="15E7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E3F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73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口腔显微镜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F6A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032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F22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130000</w:t>
            </w:r>
          </w:p>
        </w:tc>
      </w:tr>
    </w:tbl>
    <w:p w14:paraId="43B9632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070572F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牙科X射线机（牙片机）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t>牙科X射线机（牙片机）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0A4596CC">
            <w:pPr>
              <w:pStyle w:val="7"/>
              <w:jc w:val="left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设备应用场景：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用于口腔检查的设备，主要用途：诊断牙体硬组织疾病、评估牙周组织疾病、牙槽骨吸收、牙髓及根尖周疾病诊断、牙髓钙化。牙片机能提供口腔内科根管测量、牙周骨量损夫、外科智齿拔除、种植（单颗）等应用所需的精准影像。</w:t>
            </w:r>
          </w:p>
          <w:p w14:paraId="78A4748C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主要参数：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（1）管电压：70kV±10％</w:t>
            </w:r>
          </w:p>
          <w:p w14:paraId="3AE90035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（2）管电流：2mA±20％</w:t>
            </w:r>
          </w:p>
          <w:p w14:paraId="4487EFFF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（3）射线焦点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4mm</w:t>
            </w:r>
          </w:p>
          <w:p w14:paraId="502C3982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（4）最小焦皮距：≤200mm</w:t>
            </w:r>
          </w:p>
          <w:p w14:paraId="51406919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（5）发射角度：12°</w:t>
            </w:r>
          </w:p>
          <w:p w14:paraId="76061117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（6）电池容量：2500mAhx3S</w:t>
            </w:r>
          </w:p>
          <w:p w14:paraId="00F26995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（7）显示屏：≥3.5英寸高清彩屏</w:t>
            </w:r>
          </w:p>
          <w:p w14:paraId="373DD5FF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（8）恒定直流高频</w:t>
            </w:r>
          </w:p>
          <w:p w14:paraId="1CA9F57D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（9）使用年限：≥10年</w:t>
            </w:r>
          </w:p>
          <w:p w14:paraId="6F86780C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软件功能配置</w:t>
            </w:r>
          </w:p>
          <w:p w14:paraId="6702E841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（1）操作系统：Windows 10／11 Pro（64位）；</w:t>
            </w:r>
          </w:p>
          <w:p w14:paraId="5351F1C4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（2）必备软件：原厂牙片采集／处理软件（需NMPA注册）、设备驱动程序、校准文件；选配DICOM 3.0组件、PACS／RIS对接模块、种植／正畸分析插件。</w:t>
            </w:r>
          </w:p>
          <w:p w14:paraId="48B11A09">
            <w:pPr>
              <w:pStyle w:val="7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配置要求：</w:t>
            </w:r>
          </w:p>
          <w:p w14:paraId="6EB4AB53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硬件最低／推荐配置</w:t>
            </w:r>
          </w:p>
          <w:p w14:paraId="6F273AA6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（1）处理器：推荐i5／i7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6代及以上（多核更稳）。</w:t>
            </w:r>
          </w:p>
          <w:p w14:paraId="2DB786AD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（2）内存：2D采集最低8GB，3D或多任务推荐16GB＋。</w:t>
            </w:r>
          </w:p>
          <w:p w14:paraId="306462E1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（3）存储：系统盘≥120GB；数据盘≥500GB</w:t>
            </w:r>
          </w:p>
          <w:p w14:paraId="01B23511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显卡：2D采集核显及以上；</w:t>
            </w:r>
          </w:p>
          <w:p w14:paraId="0919D632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显示：≥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1920×1080及以上</w:t>
            </w:r>
          </w:p>
          <w:p w14:paraId="3A542BEC">
            <w:pPr>
              <w:pStyle w:val="7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售后要求：</w:t>
            </w:r>
          </w:p>
          <w:p w14:paraId="624E17CC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整机保修：≥2年</w:t>
            </w:r>
          </w:p>
        </w:tc>
      </w:tr>
    </w:tbl>
    <w:p w14:paraId="3CDF009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8192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0FEA50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9BB258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A645CE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0B84E4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8B4879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4D63BC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14FE3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166770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09AB4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C513FF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二、</w:t>
      </w:r>
      <w:r>
        <w:rPr>
          <w:b/>
          <w:bCs/>
          <w:sz w:val="24"/>
          <w:szCs w:val="24"/>
        </w:rPr>
        <w:t>牙科微动力系统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753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06" w:type="dxa"/>
            <w:vAlign w:val="center"/>
          </w:tcPr>
          <w:p w14:paraId="78B70320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55F0BAE9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t>牙科微动力系统</w:t>
            </w:r>
          </w:p>
        </w:tc>
      </w:tr>
      <w:tr w14:paraId="5C9E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2706" w:type="dxa"/>
            <w:vAlign w:val="center"/>
          </w:tcPr>
          <w:p w14:paraId="49084CEE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473B0951">
            <w:pPr>
              <w:pStyle w:val="7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设备应用场景：</w:t>
            </w:r>
          </w:p>
          <w:p w14:paraId="45D89667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口腔临床治疗的核心动力设备，主要用于牙体牙髓病科、口腔修复科、口腔外科、</w:t>
            </w:r>
          </w:p>
          <w:p w14:paraId="19A590FC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牙周病科及种植科的各类精细化操作，具体包括：龋齿去腐、牙体预备、根管治疗、</w:t>
            </w:r>
          </w:p>
          <w:p w14:paraId="5CDDF073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微创拔牙、骨修整、种植窝洞预备、牙周手术及修复体抛光等。</w:t>
            </w:r>
          </w:p>
          <w:p w14:paraId="61AEE686">
            <w:pPr>
              <w:pStyle w:val="7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主要参数：</w:t>
            </w:r>
          </w:p>
          <w:p w14:paraId="4CB5EC5A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电源输入220V 50Hz</w:t>
            </w:r>
          </w:p>
          <w:p w14:paraId="5E18DD94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主机尺寸≤155mmx167mmx227mm</w:t>
            </w:r>
          </w:p>
          <w:p w14:paraId="028DA2FB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空载转速范围：1000～42500 r／min（连续可调）</w:t>
            </w:r>
          </w:p>
          <w:p w14:paraId="21582065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配置要求：</w:t>
            </w:r>
          </w:p>
          <w:p w14:paraId="0EDDE98F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喷雾水源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喷雾水流量≥50mL／min</w:t>
            </w:r>
          </w:p>
          <w:p w14:paraId="7AB367B5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 xml:space="preserve">喷雾气源 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喷雾气流量≥1.5L／min</w:t>
            </w:r>
          </w:p>
          <w:p w14:paraId="08DF5809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 xml:space="preserve">冷却气流量 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冷却气流量≤40L／min</w:t>
            </w:r>
          </w:p>
          <w:p w14:paraId="2BE57F6E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牙科手机齿轮比：1000-41000r／min</w:t>
            </w:r>
          </w:p>
          <w:p w14:paraId="611B2488">
            <w:pPr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输出转速</w:t>
            </w:r>
            <w:r>
              <w:rPr>
                <w:rFonts w:hint="eastAsia" w:ascii="宋体" w:hAnsi="宋体" w:cs="宋体"/>
                <w:i w:val="0"/>
                <w:iCs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适配16-1、1-1、1-3、1-4.2、1-5等转速比手机</w:t>
            </w:r>
          </w:p>
        </w:tc>
      </w:tr>
    </w:tbl>
    <w:p w14:paraId="1B8A82F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6B038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三、</w:t>
      </w:r>
      <w:r>
        <w:rPr>
          <w:b/>
          <w:bCs/>
          <w:sz w:val="24"/>
          <w:szCs w:val="24"/>
        </w:rPr>
        <w:t>单反相机＋坏形闪光灯</w:t>
      </w:r>
    </w:p>
    <w:tbl>
      <w:tblPr>
        <w:tblStyle w:val="1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470"/>
      </w:tblGrid>
      <w:tr w14:paraId="11B0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65" w:type="dxa"/>
            <w:vAlign w:val="center"/>
          </w:tcPr>
          <w:p w14:paraId="2D03F3C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7470" w:type="dxa"/>
            <w:vAlign w:val="center"/>
          </w:tcPr>
          <w:p w14:paraId="3C39678F">
            <w:pPr>
              <w:spacing w:line="360" w:lineRule="auto"/>
              <w:jc w:val="center"/>
              <w:rPr>
                <w:rFonts w:hint="default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单反相机＋坏形闪光灯</w:t>
            </w:r>
          </w:p>
        </w:tc>
      </w:tr>
      <w:tr w14:paraId="1BB6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665" w:type="dxa"/>
            <w:vAlign w:val="center"/>
          </w:tcPr>
          <w:p w14:paraId="6601FBE2">
            <w:pPr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7470" w:type="dxa"/>
          </w:tcPr>
          <w:p w14:paraId="38665406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i w:val="0"/>
                <w:iCs w:val="0"/>
                <w:sz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设备应用场景：</w:t>
            </w:r>
          </w:p>
          <w:p w14:paraId="17B21A74">
            <w:pPr>
              <w:pStyle w:val="7"/>
              <w:rPr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  <w:t>用于口腔科临床治疗过程中病历照片资料收集与保存</w:t>
            </w:r>
            <w:r>
              <w:rPr>
                <w:i w:val="0"/>
                <w:iCs w:val="0"/>
                <w:sz w:val="22"/>
                <w:szCs w:val="22"/>
              </w:rPr>
              <w:t>。</w:t>
            </w:r>
          </w:p>
          <w:p w14:paraId="21F455BC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i w:val="0"/>
                <w:iCs w:val="0"/>
                <w:sz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主要参数：</w:t>
            </w:r>
          </w:p>
          <w:p w14:paraId="5111DAF3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1）核心配置：≥2600万有效像素全画幅CMOS传感器，对焦系统：支持实时取景下的高速对焦：具备快速相位检测对焦系统，对焦点数≥45点（或同等对焦性能），支持实时取景下的高速对焦；具备快速、精准的相位检测对焦能力，支持实时取景模式下的高速连续对焦。</w:t>
            </w:r>
          </w:p>
          <w:p w14:paraId="4EE9615B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（2）连拍速度：最高≥5张／秒</w:t>
            </w:r>
          </w:p>
          <w:p w14:paraId="75106586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）≥ 3英寸可翻转触摸屏（≥100万像素）</w:t>
            </w:r>
          </w:p>
          <w:p w14:paraId="76D55601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（5）视频能力：支持全高清≥1080p／60fps 视频拍摄</w:t>
            </w:r>
          </w:p>
          <w:p w14:paraId="009EBC7D">
            <w:pPr>
              <w:pStyle w:val="7"/>
              <w:rPr>
                <w:rFonts w:hint="default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（6）其他功能：内置Wi-Fi／NFC、GPS，机身重量≤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800g</w:t>
            </w:r>
          </w:p>
          <w:p w14:paraId="6E578C68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i w:val="0"/>
                <w:iCs w:val="0"/>
                <w:sz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配置要求：</w:t>
            </w:r>
          </w:p>
          <w:p w14:paraId="2E952547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（1）微距镜头参数：</w:t>
            </w:r>
          </w:p>
          <w:p w14:paraId="309E8A2B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焦距：≥100mm（全画幅等效），适用于口腔微距拍摄</w:t>
            </w:r>
          </w:p>
          <w:p w14:paraId="255B5582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光圈：最大≥f／2.8，最小≤f／32，≥ 9片圆形光圈叶片</w:t>
            </w:r>
          </w:p>
          <w:p w14:paraId="6365F5AE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放大倍率：≥1倍，最近对焦距离≤0.35m</w:t>
            </w:r>
          </w:p>
          <w:p w14:paraId="16D9F9B0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镜头结构：采用低色散镜片（如ED＼UD＼萤石或同等技术），有效抑制色差</w:t>
            </w:r>
          </w:p>
          <w:p w14:paraId="20E8C022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防抖性能：双重IS光学防抖（补偿效果≥4级）</w:t>
            </w:r>
          </w:p>
          <w:p w14:paraId="4333DA8C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对焦马达：环形超声波马达或同等性能的静音高速马达，支持全时手动对焦</w:t>
            </w:r>
          </w:p>
          <w:p w14:paraId="3FE5586B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防护设计：具备防尘滴溅结构，适应临床环境</w:t>
            </w:r>
          </w:p>
          <w:p w14:paraId="573A1B56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（2）环形闪光灯参数</w:t>
            </w:r>
          </w:p>
          <w:p w14:paraId="08B2A46A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闪光指数：双侧闪光≥14（ISO 100，米），单侧闪光≥10.5（ISO 100，米）</w:t>
            </w:r>
          </w:p>
          <w:p w14:paraId="3C784F8C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闪光覆盖范围：垂直／水平≥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80°</w:t>
            </w:r>
          </w:p>
          <w:p w14:paraId="49C881A1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闪光控制：支持TTL自动闪光及手动闪光，左右灯头可独立调节输出比例（支持光比控制）</w:t>
            </w:r>
          </w:p>
          <w:p w14:paraId="1604BC4E"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适用场景：专为微距摄影设计，实现无阴影均匀布光</w:t>
            </w:r>
          </w:p>
        </w:tc>
      </w:tr>
    </w:tbl>
    <w:p w14:paraId="1C3CC95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4D4E7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single" w:color="auto" w:sz="4" w:space="0"/>
        </w:pBdr>
        <w:spacing w:line="240" w:lineRule="auto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B917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牙科种植机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7491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4E441B9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2152390A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牙科种植机</w:t>
            </w:r>
          </w:p>
        </w:tc>
      </w:tr>
      <w:tr w14:paraId="1E8D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4836C69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3EA00E25"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设备应用场景：</w:t>
            </w:r>
          </w:p>
          <w:p w14:paraId="1B163B40"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专用于口腔种植外科的核心设备，其应用场景聚焦于各类牙种植体植入手术及相关骨组织处理，具体包括：常规单颗/多颗牙种植、即刻种植、All-on-X全口/半口种植、上颌窦底提升（内、外提升）、骨劈开、取骨及自体骨修整等精细化手术操作。</w:t>
            </w:r>
          </w:p>
          <w:p w14:paraId="3E5928C0">
            <w:pPr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</w:p>
          <w:p w14:paraId="1DFA365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（1）马达空载转速:300~40,000r/min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  <w:p w14:paraId="023883A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（2）弯手机齿轮速比(标配):20:1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  <w:p w14:paraId="0309376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（3）扭矩范围:5-80N.cm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  <w:p w14:paraId="6F216E0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（4）蠕动泵流量:0~150mL/min可调</w:t>
            </w:r>
          </w:p>
          <w:p w14:paraId="4AF6848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（5）主机重量:≤3.5kg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  <w:p w14:paraId="1F092EE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（6）设计使用寿命:≥10年</w:t>
            </w:r>
          </w:p>
          <w:p w14:paraId="407FDA01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</w:p>
          <w:p w14:paraId="17B4835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（1）主机：≥7英寸彩色触摸屏，支持预设程序（简易≥5个、标准≥8个），开机自动扭矩校准，实时显示/记录峰值扭矩，故障自检与报警。</w:t>
            </w:r>
          </w:p>
          <w:p w14:paraId="4978FA5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马达与手机：无刷电机，适配1:1至27:1等多减速比，标配20:1光纤弯手机；转速范围10-40000rpm，扭矩5.5-80N·cm（20:1时），弯手机跳动≤0.02mm，可135℃高温高压灭菌 。</w:t>
            </w:r>
          </w:p>
          <w:p w14:paraId="15698B5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脚踏：多功能防水（IPX8），可控制水量、程序/正反转切换、转速，提升无菌操作效率。</w:t>
            </w:r>
          </w:p>
          <w:p w14:paraId="5465278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冷却系统：静音蠕动泵，流量0-150mL/min可调，适配一次性冲洗管，避免交叉感染 。</w:t>
            </w:r>
          </w:p>
          <w:p w14:paraId="111E2D4A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（5）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val="en-US" w:eastAsia="zh-CN"/>
              </w:rPr>
              <w:t>电气与安全：宽电压100-240V/50-60Hz，具备过载、短路保护，线缆耐弯折且可高温灭菌 。</w:t>
            </w:r>
          </w:p>
        </w:tc>
      </w:tr>
    </w:tbl>
    <w:p w14:paraId="763FCBF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2D9FDB">
      <w:pPr>
        <w:pStyle w:val="7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口腔显微镜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6E69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706" w:type="dxa"/>
            <w:vAlign w:val="center"/>
          </w:tcPr>
          <w:p w14:paraId="0A3F83AF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4F907EA7">
            <w:pPr>
              <w:pStyle w:val="7"/>
              <w:jc w:val="center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口腔显微镜</w:t>
            </w:r>
          </w:p>
        </w:tc>
      </w:tr>
      <w:tr w14:paraId="2FBF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540696EA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2DAFCB9F">
            <w:pPr>
              <w:numPr>
                <w:ilvl w:val="0"/>
                <w:numId w:val="0"/>
              </w:numPr>
              <w:rPr>
                <w:i w:val="0"/>
                <w:iCs w:val="0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设备应用场景：</w:t>
            </w:r>
          </w:p>
          <w:p w14:paraId="1907873A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主要应用于牙体牙髓病科、牙周病科、口腔修复科、口腔种植科及口腔外科的精细</w:t>
            </w:r>
          </w:p>
          <w:p w14:paraId="53792552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化诊疗操作，具体包括但不限于：根管治疗、显微牙周手术、微创拔牙、牙体预备、</w:t>
            </w:r>
          </w:p>
          <w:p w14:paraId="21C6E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修复体粘接、种植手术以及临床教学与医患沟通。</w:t>
            </w:r>
          </w:p>
          <w:p w14:paraId="64354028">
            <w:pPr>
              <w:numPr>
                <w:ilvl w:val="0"/>
                <w:numId w:val="0"/>
              </w:numPr>
              <w:rPr>
                <w:b/>
                <w:bCs/>
                <w:i w:val="0"/>
                <w:iCs w:val="0"/>
                <w:sz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主要参数：</w:t>
            </w:r>
          </w:p>
          <w:p w14:paraId="1413A7F2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（1）显微镜主要光学参数（标配F＝250mm大物镜）</w:t>
            </w:r>
          </w:p>
          <w:p w14:paraId="4EEF2B6B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总放大倍率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3.4X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20.4X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ab/>
            </w:r>
          </w:p>
          <w:p w14:paraId="0030A119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视场直径：Ø1.8mm-Ø0.3mm</w:t>
            </w:r>
          </w:p>
          <w:p w14:paraId="112B6D76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物镜数值孔径NA 0.01 mm～0.028 mm</w:t>
            </w:r>
          </w:p>
          <w:p w14:paraId="5835D637">
            <w:pPr>
              <w:pStyle w:val="7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大物镜焦距F=250mm</w:t>
            </w: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eastAsia="zh-CN"/>
              </w:rPr>
              <w:t>，</w:t>
            </w:r>
          </w:p>
          <w:p w14:paraId="758854A8">
            <w:pPr>
              <w:pStyle w:val="7"/>
              <w:numPr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实际工作距离≥222mm</w:t>
            </w:r>
          </w:p>
          <w:p w14:paraId="35870F84"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目镜参数</w:t>
            </w:r>
          </w:p>
          <w:p w14:paraId="186A79D9">
            <w:pPr>
              <w:pStyle w:val="7"/>
              <w:numPr>
                <w:numId w:val="0"/>
              </w:numPr>
              <w:ind w:leftChars="0"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视度调节范围±6D</w:t>
            </w:r>
          </w:p>
          <w:p w14:paraId="40202368">
            <w:pPr>
              <w:pStyle w:val="7"/>
              <w:numPr>
                <w:numId w:val="0"/>
              </w:numPr>
              <w:ind w:leftChars="0"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目镜放大倍率12.5x</w:t>
            </w:r>
          </w:p>
          <w:p w14:paraId="3205DD5E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（4）目镜筒参数</w:t>
            </w:r>
          </w:p>
          <w:p w14:paraId="41404617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主镜目镜筒视角：0°～210°</w:t>
            </w:r>
          </w:p>
          <w:p w14:paraId="393EACD3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瞳距调节范围：52mm～75mm</w:t>
            </w:r>
          </w:p>
          <w:p w14:paraId="4BB36C11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（5）照明参数</w:t>
            </w:r>
          </w:p>
          <w:p w14:paraId="3D4E9A03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视场照明方式4°照明</w:t>
            </w:r>
          </w:p>
          <w:p w14:paraId="3E1134C1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物面最高照度≥700001x</w:t>
            </w:r>
          </w:p>
          <w:p w14:paraId="056175CB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（6）滤光片</w:t>
            </w:r>
          </w:p>
          <w:p w14:paraId="7CBF1F0C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内置滤光片：黄色滤光片、绿色滤光片</w:t>
            </w:r>
          </w:p>
          <w:p w14:paraId="6C632E23">
            <w:pPr>
              <w:pStyle w:val="7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（7）位置调节参数</w:t>
            </w:r>
          </w:p>
          <w:p w14:paraId="63706C1B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最大伸展半径≥1500mm</w:t>
            </w:r>
          </w:p>
          <w:p w14:paraId="45B08BA2">
            <w:pPr>
              <w:pStyle w:val="7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  <w:t>垂直调节范围（地面至大物镜）790mm～1310mm</w:t>
            </w:r>
          </w:p>
          <w:p w14:paraId="3F4D1578">
            <w:pPr>
              <w:pStyle w:val="7"/>
              <w:rPr>
                <w:rFonts w:hint="eastAsia"/>
                <w:b/>
                <w:bCs/>
                <w:i w:val="0"/>
                <w:iCs w:val="0"/>
                <w:sz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3.售后</w:t>
            </w:r>
            <w:r>
              <w:rPr>
                <w:rFonts w:hint="eastAsia"/>
                <w:b/>
                <w:bCs/>
                <w:i w:val="0"/>
                <w:iCs w:val="0"/>
                <w:sz w:val="24"/>
              </w:rPr>
              <w:t>要求：</w:t>
            </w:r>
          </w:p>
          <w:p w14:paraId="67DFD13E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整机保修：≥2年</w:t>
            </w:r>
          </w:p>
        </w:tc>
      </w:tr>
    </w:tbl>
    <w:p w14:paraId="797852B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11D7D"/>
    <w:multiLevelType w:val="singleLevel"/>
    <w:tmpl w:val="EA311D7D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012EDAF"/>
    <w:multiLevelType w:val="singleLevel"/>
    <w:tmpl w:val="7012EDA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49E5471"/>
    <w:rsid w:val="35FF587A"/>
    <w:rsid w:val="37F45D2F"/>
    <w:rsid w:val="38474F05"/>
    <w:rsid w:val="38D526E1"/>
    <w:rsid w:val="394B75AF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3E67DA"/>
    <w:rsid w:val="60402093"/>
    <w:rsid w:val="62E33669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4B310ED"/>
    <w:rsid w:val="753D6B6C"/>
    <w:rsid w:val="75742F72"/>
    <w:rsid w:val="75881A8D"/>
    <w:rsid w:val="782E6441"/>
    <w:rsid w:val="786646C8"/>
    <w:rsid w:val="7877401B"/>
    <w:rsid w:val="78C338C8"/>
    <w:rsid w:val="79E359FC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1306</Words>
  <Characters>1447</Characters>
  <Lines>8</Lines>
  <Paragraphs>2</Paragraphs>
  <TotalTime>5</TotalTime>
  <ScaleCrop>false</ScaleCrop>
  <LinksUpToDate>false</LinksUpToDate>
  <CharactersWithSpaces>1528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2026-04-21T07:21:13Z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