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rPr>
                <w:rFonts w:hint="default" w:ascii="FangSong_GB2312" w:hAnsi="FangSong_GB2312" w:eastAsia="FangSong_GB2312" w:cs="FangSong_GB2312"/>
                <w:color w:val="000000"/>
                <w:sz w:val="24"/>
                <w:lang w:val="en-US"/>
              </w:rPr>
            </w:pPr>
            <w:r>
              <w:rPr>
                <w:rFonts w:hint="eastAsia" w:ascii="FangSong_GB2312" w:hAnsi="FangSong_GB2312" w:eastAsia="FangSong_GB2312" w:cs="FangSong_GB2312"/>
                <w:color w:val="000000"/>
                <w:kern w:val="0"/>
                <w:sz w:val="24"/>
                <w:lang w:bidi="ar"/>
              </w:rPr>
              <w:t xml:space="preserve">    项目名称：贵州航天医院文化建设项目服务单位</w:t>
            </w:r>
            <w:r>
              <w:rPr>
                <w:rFonts w:hint="eastAsia" w:ascii="FangSong_GB2312" w:hAnsi="FangSong_GB2312" w:eastAsia="FangSong_GB2312" w:cs="FangSong_GB2312"/>
                <w:color w:val="000000"/>
                <w:kern w:val="0"/>
                <w:sz w:val="24"/>
                <w:lang w:val="en-US" w:eastAsia="zh-CN" w:bidi="ar"/>
              </w:rPr>
              <w:t>遴选</w:t>
            </w:r>
          </w:p>
        </w:tc>
      </w:tr>
      <w:tr w14:paraId="4746C0D9">
        <w:tblPrEx>
          <w:tblCellMar>
            <w:top w:w="0" w:type="dxa"/>
            <w:left w:w="108" w:type="dxa"/>
            <w:bottom w:w="0" w:type="dxa"/>
            <w:right w:w="108" w:type="dxa"/>
          </w:tblCellMar>
        </w:tblPrEx>
        <w:trPr>
          <w:trHeight w:val="463" w:hRule="atLeast"/>
          <w:jc w:val="center"/>
        </w:trPr>
        <w:tc>
          <w:tcPr>
            <w:tcW w:w="5000" w:type="pct"/>
            <w:tcBorders>
              <w:top w:val="nil"/>
              <w:left w:val="nil"/>
              <w:bottom w:val="nil"/>
              <w:right w:val="nil"/>
            </w:tcBorders>
            <w:noWrap/>
            <w:vAlign w:val="center"/>
          </w:tcPr>
          <w:p w14:paraId="253F7F16">
            <w:pP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04578010">
            <w:pP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每年度预算控制在30万元以内，如当年实际执行费用未达到年度预算金额，最终结算以项目实施完成并经验收审计后的金额为准</w:t>
            </w:r>
          </w:p>
        </w:tc>
      </w:tr>
      <w:tr w14:paraId="6EFDEDFB">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50C2371A">
            <w:pPr>
              <w:widowControl/>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年度项目金额不得超过文化建设项目年度预算，每年度预算控制在30万元以内</w:t>
            </w:r>
          </w:p>
        </w:tc>
      </w:tr>
      <w:tr w14:paraId="07E585D1">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3409BF9A">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采购需求：遴选1家医院文化建设项目服务单位；遴选方案见附件1，评分标准见附件2</w:t>
            </w:r>
          </w:p>
        </w:tc>
      </w:tr>
      <w:tr w14:paraId="521B566D">
        <w:tblPrEx>
          <w:tblCellMar>
            <w:top w:w="0" w:type="dxa"/>
            <w:left w:w="108" w:type="dxa"/>
            <w:bottom w:w="0" w:type="dxa"/>
            <w:right w:w="108" w:type="dxa"/>
          </w:tblCellMar>
        </w:tblPrEx>
        <w:trPr>
          <w:trHeight w:val="644" w:hRule="atLeast"/>
          <w:jc w:val="center"/>
        </w:trPr>
        <w:tc>
          <w:tcPr>
            <w:tcW w:w="5000" w:type="pct"/>
            <w:tcBorders>
              <w:top w:val="nil"/>
              <w:left w:val="nil"/>
              <w:bottom w:val="nil"/>
              <w:right w:val="nil"/>
            </w:tcBorders>
            <w:noWrap/>
            <w:vAlign w:val="center"/>
          </w:tcPr>
          <w:p w14:paraId="22E42E48">
            <w:pPr>
              <w:ind w:firstLine="480" w:firstLineChars="200"/>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采购期：三年。合同一年一签，一年期满后，续签合同前须经医院文化建设领导小组考核合格，若考核不合格，不再续签下一年度合同。</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合同履行期限：合同生效之日起开始履行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970" w:hRule="atLeast"/>
          <w:jc w:val="center"/>
        </w:trPr>
        <w:tc>
          <w:tcPr>
            <w:tcW w:w="5000" w:type="pct"/>
            <w:tcBorders>
              <w:top w:val="nil"/>
              <w:left w:val="nil"/>
              <w:bottom w:val="nil"/>
              <w:right w:val="nil"/>
            </w:tcBorders>
            <w:vAlign w:val="center"/>
          </w:tcPr>
          <w:p w14:paraId="5C6EFC28">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（一）投标单位须有医院、政府单位、企业整体VI设计及广告制作等的相关经验。项目主要负责人近三年至少负责过2个同类型项目的执行经历，有丰富的经验。</w:t>
            </w:r>
          </w:p>
        </w:tc>
      </w:tr>
      <w:tr w14:paraId="2846FAC1">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6EE8F3B1">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（二）具有独立承担民事责任能力的在中华人民共和国境内注册的法人或其他组织，并具有相关经营范围，包含文化服务、广告制作、设计服务等内容（需提供有效的营业执照，加盖公章）。</w:t>
            </w:r>
          </w:p>
        </w:tc>
      </w:tr>
      <w:tr w14:paraId="34FBCFF4">
        <w:tblPrEx>
          <w:tblCellMar>
            <w:top w:w="0" w:type="dxa"/>
            <w:left w:w="108" w:type="dxa"/>
            <w:bottom w:w="0" w:type="dxa"/>
            <w:right w:w="108" w:type="dxa"/>
          </w:tblCellMar>
        </w:tblPrEx>
        <w:trPr>
          <w:trHeight w:val="868" w:hRule="atLeast"/>
          <w:jc w:val="center"/>
        </w:trPr>
        <w:tc>
          <w:tcPr>
            <w:tcW w:w="5000" w:type="pct"/>
            <w:tcBorders>
              <w:top w:val="nil"/>
              <w:left w:val="nil"/>
              <w:bottom w:val="nil"/>
              <w:right w:val="nil"/>
            </w:tcBorders>
            <w:vAlign w:val="center"/>
          </w:tcPr>
          <w:p w14:paraId="73C0C5B6">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（三）参与本项目论证前三年内，在经营活动中没有重大违法记录（由投标单位在承诺函中作出声明，格式自拟）。</w:t>
            </w:r>
          </w:p>
        </w:tc>
      </w:tr>
      <w:tr w14:paraId="477D5069">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E680F10">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四）未被列入失信被执行人、重大税收违法案件当事人名单、政府采购严重违法失信行为记录名单，具有良好的社会信誉，没有处于被责令停业、财产被接管、冻结、破产和重组等状态。（由投标单位在承诺函中作出声明，格式自拟）。</w:t>
            </w:r>
          </w:p>
        </w:tc>
      </w:tr>
      <w:tr w14:paraId="59049C1D">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4EEE007">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（五）参与本项目论证时不存在被有关部门禁止参与政府采购活动且在有效期内的情况（由投标单位在承诺函中作出声明，格式自拟）。</w:t>
            </w:r>
          </w:p>
        </w:tc>
      </w:tr>
      <w:tr w14:paraId="70378CB9">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3093D347">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（六）具有履行合同所必需的设备和专业技术能力。</w:t>
            </w:r>
          </w:p>
        </w:tc>
      </w:tr>
      <w:tr w14:paraId="0ED5D76A">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053195B6">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（七）法定代表人和投标代理人身份证复印件。</w:t>
            </w:r>
          </w:p>
        </w:tc>
      </w:tr>
      <w:tr w14:paraId="73376C14">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560CEB85">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（八）法定代表人授权委托书。</w:t>
            </w:r>
          </w:p>
        </w:tc>
      </w:tr>
      <w:tr w14:paraId="5A5F16DC">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C51F506">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（九）本项目不接受联合体投标，不允许转包、分包。</w:t>
            </w:r>
          </w:p>
        </w:tc>
      </w:tr>
      <w:tr w14:paraId="4332F3FF">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31FC667C">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（十）法律、行政法规规定的其他条件。</w:t>
            </w:r>
          </w:p>
        </w:tc>
      </w:tr>
      <w:tr w14:paraId="60D94FB7">
        <w:tblPrEx>
          <w:tblCellMar>
            <w:top w:w="0" w:type="dxa"/>
            <w:left w:w="108" w:type="dxa"/>
            <w:bottom w:w="0" w:type="dxa"/>
            <w:right w:w="108" w:type="dxa"/>
          </w:tblCellMar>
        </w:tblPrEx>
        <w:trPr>
          <w:trHeight w:val="693" w:hRule="atLeast"/>
          <w:jc w:val="center"/>
        </w:trPr>
        <w:tc>
          <w:tcPr>
            <w:tcW w:w="5000" w:type="pct"/>
            <w:tcBorders>
              <w:top w:val="nil"/>
              <w:left w:val="nil"/>
              <w:bottom w:val="nil"/>
              <w:right w:val="nil"/>
            </w:tcBorders>
            <w:vAlign w:val="center"/>
          </w:tcPr>
          <w:p w14:paraId="5CCB0612">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以上所有资质均加盖公章，当天现场核对纸质资质，资质不全者不允许参与遴选。</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62"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bookmarkStart w:id="0" w:name="_GoBack"/>
            <w:bookmarkEnd w:id="0"/>
          </w:p>
        </w:tc>
      </w:tr>
      <w:tr w14:paraId="52269827">
        <w:tblPrEx>
          <w:tblCellMar>
            <w:top w:w="0" w:type="dxa"/>
            <w:left w:w="108" w:type="dxa"/>
            <w:bottom w:w="0" w:type="dxa"/>
            <w:right w:w="108" w:type="dxa"/>
          </w:tblCellMar>
        </w:tblPrEx>
        <w:trPr>
          <w:trHeight w:val="523"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524"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0A52C447">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7C0F494F">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是否接受联合体投标：否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bidi="ar"/>
              </w:rPr>
              <w:t xml:space="preserve">    截止时间：自本公告发布之日起</w:t>
            </w:r>
            <w:r>
              <w:rPr>
                <w:rFonts w:hint="eastAsia" w:ascii="FangSong_GB2312" w:hAnsi="FangSong_GB2312" w:eastAsia="FangSong_GB2312" w:cs="FangSong_GB2312"/>
                <w:color w:val="auto"/>
                <w:kern w:val="0"/>
                <w:sz w:val="24"/>
                <w:lang w:val="en-US" w:eastAsia="zh-CN" w:bidi="ar"/>
              </w:rPr>
              <w:t>5</w:t>
            </w:r>
            <w:r>
              <w:rPr>
                <w:rFonts w:hint="eastAsia" w:ascii="FangSong_GB2312" w:hAnsi="FangSong_GB2312" w:eastAsia="FangSong_GB2312" w:cs="FangSong_GB2312"/>
                <w:color w:val="auto"/>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auto"/>
                <w:kern w:val="0"/>
                <w:sz w:val="24"/>
                <w:lang w:bidi="ar"/>
              </w:rPr>
              <w:t xml:space="preserve">    地点：贵州航天医院</w:t>
            </w:r>
            <w:r>
              <w:rPr>
                <w:rFonts w:hint="eastAsia" w:ascii="FangSong_GB2312" w:hAnsi="FangSong_GB2312" w:eastAsia="FangSong_GB2312" w:cs="FangSong_GB2312"/>
                <w:color w:val="auto"/>
                <w:kern w:val="0"/>
                <w:sz w:val="24"/>
                <w:lang w:eastAsia="zh-CN" w:bidi="ar"/>
              </w:rPr>
              <w:t>外科综合楼一楼</w:t>
            </w:r>
            <w:r>
              <w:rPr>
                <w:rFonts w:hint="eastAsia" w:ascii="FangSong_GB2312" w:hAnsi="FangSong_GB2312" w:eastAsia="FangSong_GB2312" w:cs="FangSong_GB2312"/>
                <w:color w:val="auto"/>
                <w:kern w:val="0"/>
                <w:sz w:val="24"/>
                <w:lang w:val="en-US" w:eastAsia="zh-CN" w:bidi="ar"/>
              </w:rPr>
              <w:t>采购办赵老师</w:t>
            </w:r>
            <w:r>
              <w:rPr>
                <w:rFonts w:hint="eastAsia" w:ascii="FangSong_GB2312" w:hAnsi="FangSong_GB2312" w:eastAsia="FangSong_GB2312" w:cs="FangSong_GB2312"/>
                <w:color w:val="auto"/>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4EF9A13">
            <w:pPr>
              <w:widowControl/>
              <w:jc w:val="left"/>
              <w:textAlignment w:val="center"/>
              <w:rPr>
                <w:rFonts w:hint="default" w:ascii="FangSong_GB2312" w:hAnsi="FangSong_GB2312" w:eastAsia="FangSong_GB2312" w:cs="FangSong_GB2312"/>
                <w:color w:val="auto"/>
                <w:kern w:val="0"/>
                <w:sz w:val="24"/>
                <w:lang w:val="en-US" w:eastAsia="zh-CN" w:bidi="ar"/>
              </w:rPr>
            </w:pPr>
            <w:r>
              <w:rPr>
                <w:rFonts w:hint="eastAsia" w:ascii="FangSong_GB2312" w:hAnsi="FangSong_GB2312" w:eastAsia="FangSong_GB2312" w:cs="FangSong_GB2312"/>
                <w:color w:val="auto"/>
                <w:kern w:val="0"/>
                <w:sz w:val="24"/>
                <w:lang w:val="en-US" w:eastAsia="zh-CN" w:bidi="ar"/>
              </w:rPr>
              <w:t>响应文件投递方式：现场投递或邮寄投递</w:t>
            </w:r>
          </w:p>
        </w:tc>
      </w:tr>
      <w:tr w14:paraId="7A29BE9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5754D80">
            <w:pPr>
              <w:widowControl/>
              <w:ind w:firstLine="480" w:firstLineChars="200"/>
              <w:jc w:val="left"/>
              <w:textAlignment w:val="center"/>
              <w:rPr>
                <w:rFonts w:hint="eastAsia" w:ascii="FangSong_GB2312" w:hAnsi="FangSong_GB2312" w:eastAsia="FangSong_GB2312" w:cs="FangSong_GB2312"/>
                <w:color w:val="auto"/>
                <w:kern w:val="0"/>
                <w:sz w:val="24"/>
                <w:lang w:eastAsia="zh-CN" w:bidi="ar"/>
              </w:rPr>
            </w:pPr>
            <w:r>
              <w:rPr>
                <w:rFonts w:hint="eastAsia" w:ascii="FangSong_GB2312" w:hAnsi="FangSong_GB2312" w:eastAsia="FangSong_GB2312" w:cs="FangSong_GB2312"/>
                <w:color w:val="auto"/>
                <w:kern w:val="0"/>
                <w:sz w:val="24"/>
                <w:lang w:val="en-US" w:eastAsia="zh-CN" w:bidi="ar"/>
              </w:rPr>
              <w:t>投标人要求：需由法人或法人委托的代理人持“授权委托书”进行投递，邮寄需邮寄人为法人或代理人，代理人需附“授权委托书”。</w:t>
            </w:r>
          </w:p>
        </w:tc>
      </w:tr>
      <w:tr w14:paraId="4CFCDB2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2E1E86">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投标文件需为</w:t>
            </w:r>
            <w:r>
              <w:rPr>
                <w:rFonts w:hint="eastAsia" w:ascii="FangSong_GB2312" w:hAnsi="FangSong_GB2312" w:eastAsia="FangSong_GB2312" w:cs="FangSong_GB2312"/>
                <w:color w:val="auto"/>
                <w:kern w:val="0"/>
                <w:sz w:val="24"/>
                <w:lang w:eastAsia="zh-CN" w:bidi="ar"/>
              </w:rPr>
              <w:t>纸质版，</w:t>
            </w:r>
            <w:r>
              <w:rPr>
                <w:rFonts w:hint="eastAsia" w:ascii="FangSong_GB2312" w:hAnsi="FangSong_GB2312" w:eastAsia="FangSong_GB2312" w:cs="FangSong_GB2312"/>
                <w:color w:val="auto"/>
                <w:kern w:val="0"/>
                <w:sz w:val="24"/>
                <w:lang w:val="en-US" w:eastAsia="zh-CN" w:bidi="ar"/>
              </w:rPr>
              <w:t>胶装成册，一正两副，内含目录及页码，密封提交</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0B8C9307">
      <w:pPr>
        <w:rPr>
          <w:rFonts w:hint="eastAsia" w:ascii="仿宋" w:hAnsi="仿宋" w:eastAsia="仿宋"/>
          <w:bCs/>
          <w:sz w:val="28"/>
          <w:szCs w:val="28"/>
          <w:lang w:val="en-US" w:eastAsia="zh-CN"/>
        </w:rPr>
      </w:pPr>
    </w:p>
    <w:p w14:paraId="30D5AF04">
      <w:pPr>
        <w:rPr>
          <w:rFonts w:hint="eastAsia" w:ascii="仿宋" w:hAnsi="仿宋" w:eastAsia="仿宋"/>
          <w:bCs/>
          <w:sz w:val="28"/>
          <w:szCs w:val="28"/>
          <w:lang w:val="en-US" w:eastAsia="zh-CN"/>
        </w:rPr>
      </w:pPr>
    </w:p>
    <w:p w14:paraId="648EB638">
      <w:pPr>
        <w:rPr>
          <w:rFonts w:hint="eastAsia" w:ascii="仿宋" w:hAnsi="仿宋" w:eastAsia="仿宋"/>
          <w:bCs/>
          <w:sz w:val="28"/>
          <w:szCs w:val="28"/>
          <w:lang w:val="en-US" w:eastAsia="zh-CN"/>
        </w:rPr>
      </w:pPr>
    </w:p>
    <w:p w14:paraId="3A74A34C">
      <w:pPr>
        <w:rPr>
          <w:rFonts w:hint="eastAsia" w:ascii="仿宋" w:hAnsi="仿宋" w:eastAsia="仿宋"/>
          <w:bCs/>
          <w:sz w:val="28"/>
          <w:szCs w:val="28"/>
          <w:lang w:val="en-US" w:eastAsia="zh-CN"/>
        </w:rPr>
      </w:pPr>
    </w:p>
    <w:p w14:paraId="6282223C">
      <w:pPr>
        <w:rPr>
          <w:rFonts w:hint="eastAsia" w:ascii="仿宋" w:hAnsi="仿宋" w:eastAsia="仿宋"/>
          <w:bCs/>
          <w:sz w:val="28"/>
          <w:szCs w:val="28"/>
          <w:lang w:val="en-US" w:eastAsia="zh-CN"/>
        </w:rPr>
      </w:pPr>
    </w:p>
    <w:p w14:paraId="55DDEF0B">
      <w:pPr>
        <w:rPr>
          <w:rFonts w:hint="eastAsia" w:ascii="仿宋" w:hAnsi="仿宋" w:eastAsia="仿宋"/>
          <w:bCs/>
          <w:sz w:val="28"/>
          <w:szCs w:val="28"/>
          <w:lang w:val="en-US" w:eastAsia="zh-CN"/>
        </w:rPr>
      </w:pPr>
    </w:p>
    <w:p w14:paraId="66D96E5F">
      <w:pPr>
        <w:rPr>
          <w:rFonts w:hint="eastAsia" w:ascii="仿宋" w:hAnsi="仿宋" w:eastAsia="仿宋"/>
          <w:bCs/>
          <w:sz w:val="28"/>
          <w:szCs w:val="28"/>
          <w:lang w:val="en-US" w:eastAsia="zh-CN"/>
        </w:rPr>
      </w:pPr>
    </w:p>
    <w:p w14:paraId="3F4CB31A">
      <w:pPr>
        <w:rPr>
          <w:rFonts w:hint="eastAsia" w:ascii="仿宋" w:hAnsi="仿宋" w:eastAsia="仿宋"/>
          <w:bCs/>
          <w:sz w:val="28"/>
          <w:szCs w:val="28"/>
          <w:lang w:val="en-US" w:eastAsia="zh-CN"/>
        </w:rPr>
      </w:pPr>
    </w:p>
    <w:p w14:paraId="18E9DFD4">
      <w:pPr>
        <w:rPr>
          <w:rFonts w:hint="eastAsia" w:ascii="仿宋" w:hAnsi="仿宋" w:eastAsia="仿宋"/>
          <w:bCs/>
          <w:sz w:val="28"/>
          <w:szCs w:val="28"/>
          <w:lang w:val="en-US" w:eastAsia="zh-CN"/>
        </w:rPr>
      </w:pPr>
    </w:p>
    <w:p w14:paraId="22BAF432">
      <w:pPr>
        <w:rPr>
          <w:rFonts w:hint="eastAsia" w:ascii="仿宋" w:hAnsi="仿宋" w:eastAsia="仿宋"/>
          <w:bCs/>
          <w:sz w:val="28"/>
          <w:szCs w:val="28"/>
          <w:lang w:val="en-US" w:eastAsia="zh-CN"/>
        </w:rPr>
      </w:pPr>
    </w:p>
    <w:p w14:paraId="723E3F46">
      <w:pPr>
        <w:rPr>
          <w:rFonts w:hint="eastAsia" w:ascii="仿宋" w:hAnsi="仿宋" w:eastAsia="仿宋"/>
          <w:bCs/>
          <w:sz w:val="28"/>
          <w:szCs w:val="28"/>
          <w:lang w:val="en-US" w:eastAsia="zh-CN"/>
        </w:rPr>
      </w:pPr>
    </w:p>
    <w:p w14:paraId="49D5D997">
      <w:pPr>
        <w:rPr>
          <w:rFonts w:hint="eastAsia" w:ascii="仿宋" w:hAnsi="仿宋" w:eastAsia="仿宋"/>
          <w:bCs/>
          <w:sz w:val="28"/>
          <w:szCs w:val="28"/>
          <w:lang w:val="en-US" w:eastAsia="zh-CN"/>
        </w:rPr>
      </w:pPr>
    </w:p>
    <w:p w14:paraId="539BE5E4">
      <w:pPr>
        <w:rPr>
          <w:rFonts w:hint="eastAsia" w:ascii="仿宋" w:hAnsi="仿宋" w:eastAsia="仿宋"/>
          <w:bCs/>
          <w:sz w:val="28"/>
          <w:szCs w:val="28"/>
          <w:lang w:val="en-US" w:eastAsia="zh-CN"/>
        </w:rPr>
      </w:pPr>
    </w:p>
    <w:p w14:paraId="540632E7">
      <w:pPr>
        <w:rPr>
          <w:rFonts w:hint="eastAsia" w:ascii="仿宋" w:hAnsi="仿宋" w:eastAsia="仿宋"/>
          <w:bCs/>
          <w:sz w:val="28"/>
          <w:szCs w:val="28"/>
          <w:lang w:val="en-US" w:eastAsia="zh-CN"/>
        </w:rPr>
      </w:pPr>
    </w:p>
    <w:p w14:paraId="49DC856E">
      <w:pPr>
        <w:rPr>
          <w:rFonts w:hint="eastAsia" w:ascii="仿宋" w:hAnsi="仿宋" w:eastAsia="仿宋"/>
          <w:bCs/>
          <w:sz w:val="28"/>
          <w:szCs w:val="28"/>
          <w:lang w:val="en-US" w:eastAsia="zh-CN"/>
        </w:rPr>
      </w:pPr>
    </w:p>
    <w:p w14:paraId="2911FD1F">
      <w:pPr>
        <w:rPr>
          <w:rFonts w:hint="eastAsia" w:ascii="仿宋" w:hAnsi="仿宋" w:eastAsia="仿宋"/>
          <w:bCs/>
          <w:sz w:val="28"/>
          <w:szCs w:val="28"/>
        </w:rPr>
      </w:pPr>
    </w:p>
    <w:p w14:paraId="135F64B5">
      <w:pPr>
        <w:spacing w:beforeLines="0" w:afterLines="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14FACC98">
      <w:pPr>
        <w:spacing w:beforeLines="0" w:afterLines="0" w:line="560" w:lineRule="exact"/>
        <w:rPr>
          <w:rFonts w:hint="eastAsia"/>
          <w:color w:val="auto"/>
          <w:sz w:val="32"/>
          <w:szCs w:val="32"/>
        </w:rPr>
      </w:pPr>
    </w:p>
    <w:p w14:paraId="0B7F5005">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关于遴选贵州航天医院文化建设项目</w:t>
      </w:r>
    </w:p>
    <w:p w14:paraId="5A4E5513">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服务单位工作方案</w:t>
      </w:r>
    </w:p>
    <w:p w14:paraId="331332C9">
      <w:pPr>
        <w:spacing w:beforeLines="0" w:afterLines="0" w:line="560" w:lineRule="exact"/>
        <w:ind w:firstLine="640" w:firstLineChars="200"/>
        <w:rPr>
          <w:rFonts w:hint="eastAsia"/>
          <w:color w:val="auto"/>
          <w:sz w:val="32"/>
          <w:szCs w:val="32"/>
        </w:rPr>
      </w:pPr>
    </w:p>
    <w:p w14:paraId="4C1B63B2">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一、项目背景</w:t>
      </w:r>
    </w:p>
    <w:p w14:paraId="726963F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州航天医院源于三线建设，传承载人航天精神，为系统梳理医院发展历程，凝练核心文化价值，增强职工凝聚力与归属感，提升医院品牌形象与社会认知，特筹划建设覆盖院史、党建、专家、技术、人文关怀于一体的综合性文化，打造一个对内凝聚人心、对外展示形象的重要精神窗口和宣传教育平台。</w:t>
      </w:r>
    </w:p>
    <w:p w14:paraId="442A3110">
      <w:pPr>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二、项目名称</w:t>
      </w:r>
    </w:p>
    <w:p w14:paraId="27D6A5B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文化建设项目。</w:t>
      </w:r>
    </w:p>
    <w:p w14:paraId="1045FECF">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三、服务期限与项目预算</w:t>
      </w:r>
    </w:p>
    <w:p w14:paraId="6E2F5CE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（一）服务期限</w:t>
      </w:r>
    </w:p>
    <w:p w14:paraId="552B247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本项目根据政府采购合同期限，采取一次招标三年沿用、实行一年一签合同、分期考核、分期付款的办法。</w:t>
      </w:r>
    </w:p>
    <w:p w14:paraId="5C90BFD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（二）项目预算</w:t>
      </w:r>
    </w:p>
    <w:p w14:paraId="6115278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因文化建设为一项长期工程，需分批次进行建设，每年度预算控制在30万元以内，如当年实际执行费用未达到年度预算金额，最终结算以项目实施完成并经验收审计后的金额为准。</w:t>
      </w:r>
    </w:p>
    <w:p w14:paraId="5DFC4538">
      <w:pPr>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四、项目需求</w:t>
      </w:r>
    </w:p>
    <w:p w14:paraId="35B072A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本项目需对医院指定的物理空间（如门诊、院区公共区域等，具体面积与位置以现场踏勘为准）进行整体文化打造。核心需求包括：</w:t>
      </w:r>
    </w:p>
    <w:p w14:paraId="299D09AD">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（一）主题定位明确。深度融入“三线精神”“载人航天精神”基因与“医者仁心”特质，形成独具特色的医院文化主题。</w:t>
      </w:r>
    </w:p>
    <w:p w14:paraId="3DBDAEE2">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（二）内容体系化。需系统规划院史传承、党建领航、学科发展、楷模风采、人文服务、未来展望等模块，内容需准确、精练、富有层次。</w:t>
      </w:r>
    </w:p>
    <w:p w14:paraId="70FDF9B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（三）形式创新多样。综合运用图文、艺术造型、实物展陈、多媒体互动（如数字屏、互动投影、音视频系统）等多种形式，实现静动结合、传统与现代交融的呈现效果。</w:t>
      </w:r>
    </w:p>
    <w:p w14:paraId="6E2B781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（四）环境融合度高。设计风格需与医院现有建筑环境、导视系统（VI）相协调，营造温馨、人文、专业的整体氛围。</w:t>
      </w:r>
    </w:p>
    <w:p w14:paraId="2A3A77F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（五）具备扩展性。方案需考虑未来内容的更新与扩展的便利性。</w:t>
      </w:r>
    </w:p>
    <w:p w14:paraId="17610F01">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五、服务要求</w:t>
      </w:r>
    </w:p>
    <w:p w14:paraId="471BFD0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（一）服务单位资格</w:t>
      </w:r>
    </w:p>
    <w:p w14:paraId="244B1C1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1.投标单位须有医院、政府单位、企业整体VI设计及装饰装修等的相关经验。项目主要负责人近三年至少负责过2个同类型项目的执行经历，有丰富的经验。</w:t>
      </w:r>
    </w:p>
    <w:p w14:paraId="7EE9D2B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2.具有独立承担民事责任能力的在中华人民共和国境内注册的法人或其他组织，并具有相关经营范围，包含文化服务、装饰装修、设计制作服务等内容（需提供有效的营业执照，加盖公章）。</w:t>
      </w:r>
    </w:p>
    <w:p w14:paraId="028F90D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3.参与本项目论证前三年内，在经营活动中没有重大违法记录（由投标单位在承诺函中作出声明，格式自拟）。</w:t>
      </w:r>
    </w:p>
    <w:p w14:paraId="71B54E0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未被列入失信被执行人、重大税收违法案件当事人名单、政府采购严重违法失信行为记录名单，具有良好的社会信誉，没有处于被责令停业、财产被接管、冻结、破产和重组等状态。（由投标单位在承诺函中作出声明，格式自拟）。</w:t>
      </w:r>
    </w:p>
    <w:p w14:paraId="3C49056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5.参与本项目论证时不存在被有关部门禁止参与政府采购活动且在有效期内的情况（由投标单位在承诺函中作出声明，格式自拟）。</w:t>
      </w:r>
    </w:p>
    <w:p w14:paraId="16C56E3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6.具有履行合同所必需的设备和专业技术能力。</w:t>
      </w:r>
    </w:p>
    <w:p w14:paraId="5178FE9F">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7.法定代表人和投标代理人身份证复印件。</w:t>
      </w:r>
    </w:p>
    <w:p w14:paraId="4B332AE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8.法定代表人授权委托书。</w:t>
      </w:r>
    </w:p>
    <w:p w14:paraId="64EA29F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9.本项目不接受联合体投标，不允许转包、分包。</w:t>
      </w:r>
    </w:p>
    <w:p w14:paraId="549C057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10.法律、行政法规规定的其他条件。</w:t>
      </w:r>
    </w:p>
    <w:p w14:paraId="77990AF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以上所有资质均加盖公章，当天现场核对纸质资质，资质不全者不允许参与遴选。</w:t>
      </w:r>
    </w:p>
    <w:p w14:paraId="1B20B12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（二）服务内容</w:t>
      </w:r>
    </w:p>
    <w:p w14:paraId="46AF838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1.前期调研与策划。配合医院宣传统战科深入医院进行访谈、资料收集与分析，完成文化体系梳理与文化路线规划。</w:t>
      </w:r>
    </w:p>
    <w:p w14:paraId="24341FC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2.概念与深化设计。提供整体空间规划、流线设计、效果图、施工图及多媒体内容脚本。</w:t>
      </w:r>
    </w:p>
    <w:p w14:paraId="75E7229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3.项目报价与预算。提供详细、规范的项目预算清单。</w:t>
      </w:r>
    </w:p>
    <w:p w14:paraId="18FDC49F">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4.施工。负责展墙制作、展具定制、现场布展等。</w:t>
      </w:r>
    </w:p>
    <w:p w14:paraId="51E154F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5.内容制作与安装。完成所有图文内容校对、设计、制作与上墙。</w:t>
      </w:r>
    </w:p>
    <w:p w14:paraId="70C45814">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6.项目运维。提供质保期内的维护服务及必要的使用培训。</w:t>
      </w:r>
    </w:p>
    <w:p w14:paraId="139832D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（三）最终成果</w:t>
      </w:r>
    </w:p>
    <w:p w14:paraId="0398CEA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1.提交各项设计源文件，格式可为CDR（不转曲）、AI、PSD，使用U盘或移动硬盘拷贝电子文档（源文件、PDF文件）。</w:t>
      </w:r>
    </w:p>
    <w:p w14:paraId="7184847E">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2.各项设计形成文本2套，内容包括但不限于现场勘察、设计思路、主题规划和需制作点位的初步设计、价格概算。</w:t>
      </w:r>
    </w:p>
    <w:p w14:paraId="3CBF1953">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六、建设单位需提供的相关服务方案和报价</w:t>
      </w:r>
    </w:p>
    <w:p w14:paraId="44BBD80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（一）公司概况、项目实施团队或主要成员情况。</w:t>
      </w:r>
    </w:p>
    <w:p w14:paraId="217B2A9F">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（二）建设材料报价清单。</w:t>
      </w:r>
    </w:p>
    <w:p w14:paraId="788C254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（三）现场施工相关管理办法和制度。</w:t>
      </w:r>
    </w:p>
    <w:p w14:paraId="1F39F33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（四）提供同类项目历史成交业绩至少10个（提供合同复印件及效果方案和照片）。</w:t>
      </w:r>
    </w:p>
    <w:p w14:paraId="78993988">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七、服务考核</w:t>
      </w:r>
    </w:p>
    <w:p w14:paraId="68B20FF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为确保项目建设质量与长期服务效果，采用“年度综合考评+动态退出”机制，具体如下：</w:t>
      </w:r>
    </w:p>
    <w:p w14:paraId="7D6BD68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（一）年度综合考评</w:t>
      </w:r>
    </w:p>
    <w:p w14:paraId="62C3558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年12月，由医院文化建设领导小组对文化契合度、方案落地性（材质、预算等）、原创与合规、工程质量、工期进度、施工安全、响应时效等进行考核（具体考核标准根据合同协商制定），根据考核结果进行合同续签、支付合同款。</w:t>
      </w:r>
    </w:p>
    <w:p w14:paraId="70545C8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（二）动态退出机制</w:t>
      </w:r>
    </w:p>
    <w:p w14:paraId="0DB2CFF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1.连续三年考核优秀，后续可优先考虑续签合同；</w:t>
      </w:r>
    </w:p>
    <w:p w14:paraId="55B4AF3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2.同一问题累计整改3次仍不合格，医院有权单方面解除合同，由此造成的损失由服务单位承担；</w:t>
      </w:r>
    </w:p>
    <w:p w14:paraId="3CE45BE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3.任一年度考核不合格，将不再续签合同；</w:t>
      </w:r>
    </w:p>
    <w:p w14:paraId="697F1584">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4.服务期间如被列入失信被执行人、发生重大安全事故或舆情事件等不良事件，立即终止合作。</w:t>
      </w:r>
    </w:p>
    <w:p w14:paraId="165BEECE">
      <w:pPr>
        <w:spacing w:beforeLines="0" w:afterLines="0"/>
        <w:rPr>
          <w:rFonts w:hint="eastAsia"/>
          <w:color w:val="auto"/>
          <w:sz w:val="32"/>
          <w:szCs w:val="32"/>
        </w:rPr>
      </w:pPr>
      <w:r>
        <w:rPr>
          <w:rFonts w:hint="eastAsia"/>
          <w:color w:val="auto"/>
          <w:sz w:val="32"/>
          <w:szCs w:val="32"/>
        </w:rPr>
        <w:br w:type="page"/>
      </w:r>
    </w:p>
    <w:p w14:paraId="7ADE586B">
      <w:pPr>
        <w:spacing w:beforeLines="0" w:afterLines="0"/>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0067EB0F">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评分标准</w:t>
      </w:r>
    </w:p>
    <w:p w14:paraId="645A2CE9">
      <w:pPr>
        <w:spacing w:beforeLines="0" w:afterLines="0" w:line="560" w:lineRule="exact"/>
        <w:ind w:firstLine="640" w:firstLineChars="200"/>
        <w:rPr>
          <w:rFonts w:hint="eastAsia"/>
          <w:color w:val="auto"/>
          <w:sz w:val="32"/>
          <w:szCs w:val="32"/>
        </w:rPr>
      </w:pPr>
    </w:p>
    <w:tbl>
      <w:tblPr>
        <w:tblStyle w:val="10"/>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4297"/>
        <w:gridCol w:w="1236"/>
        <w:gridCol w:w="519"/>
        <w:gridCol w:w="508"/>
        <w:gridCol w:w="494"/>
      </w:tblGrid>
      <w:tr w14:paraId="5333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pct"/>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544FC98">
            <w:pPr>
              <w:snapToGrid w:val="0"/>
              <w:spacing w:beforeLines="0" w:afterLines="0"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评分项及评分标准</w:t>
            </w:r>
          </w:p>
          <w:p w14:paraId="7C2DE24C">
            <w:pPr>
              <w:spacing w:beforeLines="0" w:afterLines="0" w:line="360" w:lineRule="exact"/>
              <w:ind w:firstLine="7840" w:firstLineChars="2800"/>
              <w:jc w:val="left"/>
              <w:rPr>
                <w:rFonts w:hint="eastAsia" w:ascii="仿宋_GB2312" w:hAnsi="仿宋_GB2312" w:eastAsia="仿宋_GB2312" w:cs="仿宋_GB2312"/>
                <w:color w:val="000000"/>
                <w:sz w:val="28"/>
                <w:szCs w:val="28"/>
              </w:rPr>
            </w:pPr>
          </w:p>
          <w:p w14:paraId="2817D1F0">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服务单位名称</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544C0F45">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服务单位1</w:t>
            </w: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7C90D5BC">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服务单位2</w:t>
            </w: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7D9DFDFA">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服务单位3</w:t>
            </w:r>
          </w:p>
        </w:tc>
      </w:tr>
      <w:tr w14:paraId="595F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A2D415D">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价格分</w:t>
            </w:r>
          </w:p>
          <w:p w14:paraId="5836B80E">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34655FA">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投标报价得分＝(评标基准价/有效投标报价)×价格权值×100</w:t>
            </w:r>
          </w:p>
          <w:p w14:paraId="777674C5">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注：评标基准价指满足采购文件要求且投标价格（或扣除后价格）最低的投标报价，投标报价指满足采购文件要求的各投标单位的投标报价。</w:t>
            </w:r>
          </w:p>
          <w:p w14:paraId="301B0816">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（以本次投标报价最低价为评标基准价）</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03D72EE">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245CFD6">
            <w:pPr>
              <w:spacing w:beforeLines="0" w:afterLines="0" w:line="360" w:lineRule="exact"/>
              <w:ind w:firstLine="560" w:firstLineChars="200"/>
              <w:jc w:val="center"/>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D64C231">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F19135B">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1D94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57D9CA68">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技术分</w:t>
            </w:r>
          </w:p>
          <w:p w14:paraId="2AED15B7">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97AABCA">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评价内容</w:t>
            </w:r>
            <w:r>
              <w:rPr>
                <w:rFonts w:hint="eastAsia" w:ascii="仿宋_GB2312" w:hAnsi="仿宋_GB2312" w:eastAsia="仿宋_GB2312" w:cs="仿宋_GB2312"/>
                <w:color w:val="000000"/>
                <w:sz w:val="28"/>
                <w:szCs w:val="28"/>
              </w:rPr>
              <w:t>主要为投标单位技术方案的可行性；对投标产品的技术性能、参数的响应性；产品主要部件的质量；产品使用过程中的先进性、可靠性、稳定性、操作性及维护性；企业采用的技术、工艺流程、技术装备情况等。根据投标单位提供的技术资料由医院代表分别进行比较和评价，给出相应的分值。</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5431143">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E64237F">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9CEC495">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7F8BF3A">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54F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17E39A7">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方案分</w:t>
            </w:r>
          </w:p>
          <w:p w14:paraId="629526D4">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0830858">
            <w:pPr>
              <w:spacing w:beforeLines="0" w:afterLines="0" w:line="36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项目总体方案：（包含：设计、施工、电路）</w:t>
            </w:r>
          </w:p>
          <w:p w14:paraId="3FBDBC0A">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提供针对本项目的总体方案（设计目标、实现项目的各项功能、组织施工计划、施工规范、项目质量、安全控制措施、培训计划、验收方案、售后保障措施），方案须详细、合理、切实可行，医院根据方案内容进行评分：</w:t>
            </w:r>
          </w:p>
          <w:p w14:paraId="506C8D87">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1、方案详细、合理、切实可行，得21-35分；</w:t>
            </w:r>
          </w:p>
          <w:p w14:paraId="1C0857DB">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2、方案基本详细、合理、可行，得11-20分；</w:t>
            </w:r>
          </w:p>
          <w:p w14:paraId="242BD4A6">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3、方案缺项漏项，基本合理、可行，得1-10分；</w:t>
            </w:r>
          </w:p>
          <w:p w14:paraId="58F98C7B">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4、方案缺项漏项，不合理、不可行，得0分。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4DF2270">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0-35分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2521AE0">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F3EE60A">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906E365">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3DE0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00AA853">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人员分</w:t>
            </w:r>
          </w:p>
          <w:p w14:paraId="01629BE2">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DA992C1">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提供高空作业人员高空作业证（年审合格）得5分；</w:t>
            </w:r>
          </w:p>
          <w:p w14:paraId="41F4CBB9">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提供电工作业人员电工证（年审合格）得5分；</w:t>
            </w:r>
          </w:p>
          <w:p w14:paraId="12749117">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不提供不得分。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74BB0A84">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EB72F7B">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35A2980">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78CAC04">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2957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C834B5A">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业绩分</w:t>
            </w:r>
          </w:p>
          <w:p w14:paraId="315B5CD9">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A17C924">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业绩：</w:t>
            </w:r>
            <w:r>
              <w:rPr>
                <w:rFonts w:hint="eastAsia" w:ascii="仿宋_GB2312" w:hAnsi="仿宋_GB2312" w:eastAsia="仿宋_GB2312" w:cs="仿宋_GB2312"/>
                <w:color w:val="000000"/>
                <w:sz w:val="28"/>
                <w:szCs w:val="28"/>
              </w:rPr>
              <w:t>提供近三年同类业绩合同复印件和中标通知书，每提供一份得1分，满分10分。（提供设计图及中标通知书或合同复印件加盖公章）。</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9C15617">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7A2C488">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4963341">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4CAFD98">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3FF9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DDC6763">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售后保障分（5分）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F0BF031">
            <w:pPr>
              <w:spacing w:beforeLines="0" w:afterLines="0" w:line="36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合作期间提供24小时热线服务和现场支持服务。若出现质量问题或其它情况导致宣传阵地不能正常使用的，中标单位必须在接报后2小时内响应，24小时内到达现场，根据实际情况积极响应恢复。需书面承诺，满足得5分，不满足的0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5DED94A">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EC7FEEC">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D8AC64E">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220A493">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683E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23" w:type="pct"/>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5CD66565">
            <w:pPr>
              <w:spacing w:beforeLines="0" w:afterLines="0" w:line="360" w:lineRule="exact"/>
              <w:ind w:firstLine="2240" w:firstLineChars="8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得分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57B60EF">
            <w:pPr>
              <w:spacing w:beforeLines="0" w:afterLines="0" w:line="360" w:lineRule="exact"/>
              <w:jc w:val="left"/>
              <w:rPr>
                <w:rFonts w:hint="eastAsia" w:ascii="仿宋_GB2312" w:hAnsi="仿宋_GB2312" w:eastAsia="仿宋_GB2312" w:cs="仿宋_GB2312"/>
                <w:color w:val="000000"/>
                <w:sz w:val="28"/>
                <w:szCs w:val="28"/>
              </w:rPr>
            </w:pP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E52212C">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F273189">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CC00661">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bl>
    <w:p w14:paraId="247C8825">
      <w:pPr>
        <w:tabs>
          <w:tab w:val="left" w:pos="5133"/>
        </w:tabs>
        <w:bidi w:val="0"/>
        <w:jc w:val="left"/>
        <w:rPr>
          <w:rFonts w:hint="default"/>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46D15"/>
    <w:rsid w:val="020E3E06"/>
    <w:rsid w:val="04567CE7"/>
    <w:rsid w:val="053E2C54"/>
    <w:rsid w:val="058B49DF"/>
    <w:rsid w:val="06502E2E"/>
    <w:rsid w:val="07302A71"/>
    <w:rsid w:val="075E555B"/>
    <w:rsid w:val="07726BE5"/>
    <w:rsid w:val="09D21BBD"/>
    <w:rsid w:val="0A474359"/>
    <w:rsid w:val="0BE1433A"/>
    <w:rsid w:val="0D571796"/>
    <w:rsid w:val="1246139A"/>
    <w:rsid w:val="13D824C6"/>
    <w:rsid w:val="14B46A8F"/>
    <w:rsid w:val="1609105D"/>
    <w:rsid w:val="16E01B81"/>
    <w:rsid w:val="17716EB9"/>
    <w:rsid w:val="179922EA"/>
    <w:rsid w:val="1DF1305D"/>
    <w:rsid w:val="20A933D4"/>
    <w:rsid w:val="22E91FFA"/>
    <w:rsid w:val="23664E49"/>
    <w:rsid w:val="24B623B0"/>
    <w:rsid w:val="24C525F3"/>
    <w:rsid w:val="27A71D1F"/>
    <w:rsid w:val="296028EA"/>
    <w:rsid w:val="2A5306A1"/>
    <w:rsid w:val="2A77438F"/>
    <w:rsid w:val="2D3C366E"/>
    <w:rsid w:val="2E094915"/>
    <w:rsid w:val="2F854E58"/>
    <w:rsid w:val="33DF3513"/>
    <w:rsid w:val="344057F2"/>
    <w:rsid w:val="35270760"/>
    <w:rsid w:val="36883480"/>
    <w:rsid w:val="37B74738"/>
    <w:rsid w:val="388258F2"/>
    <w:rsid w:val="392751D2"/>
    <w:rsid w:val="3971644D"/>
    <w:rsid w:val="39BD4E3B"/>
    <w:rsid w:val="3A543DA5"/>
    <w:rsid w:val="3B2F036E"/>
    <w:rsid w:val="42175028"/>
    <w:rsid w:val="431E7646"/>
    <w:rsid w:val="43FA3C0F"/>
    <w:rsid w:val="440E1469"/>
    <w:rsid w:val="44692B43"/>
    <w:rsid w:val="45AC0F39"/>
    <w:rsid w:val="47040901"/>
    <w:rsid w:val="4B334999"/>
    <w:rsid w:val="56E822F9"/>
    <w:rsid w:val="59D423B5"/>
    <w:rsid w:val="5B5F2152"/>
    <w:rsid w:val="5C3B671B"/>
    <w:rsid w:val="618B1EF3"/>
    <w:rsid w:val="627B3D15"/>
    <w:rsid w:val="651B358E"/>
    <w:rsid w:val="67957627"/>
    <w:rsid w:val="67EC1211"/>
    <w:rsid w:val="68703BF0"/>
    <w:rsid w:val="6AA33E09"/>
    <w:rsid w:val="6ABC4ECB"/>
    <w:rsid w:val="6D5D539B"/>
    <w:rsid w:val="6E641258"/>
    <w:rsid w:val="6FE70C3C"/>
    <w:rsid w:val="72F33ECE"/>
    <w:rsid w:val="72F773E8"/>
    <w:rsid w:val="73F92CEC"/>
    <w:rsid w:val="7422425C"/>
    <w:rsid w:val="769A4640"/>
    <w:rsid w:val="77306B9A"/>
    <w:rsid w:val="78F10436"/>
    <w:rsid w:val="79652DD0"/>
    <w:rsid w:val="7EC3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ahoma" w:hAnsi="Tahom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unhideWhenUsed/>
    <w:qFormat/>
    <w:uiPriority w:val="0"/>
    <w:pPr>
      <w:tabs>
        <w:tab w:val="center" w:pos="4153"/>
        <w:tab w:val="right" w:pos="8306"/>
      </w:tabs>
      <w:snapToGrid w:val="0"/>
      <w:spacing w:beforeLines="0" w:afterLines="0"/>
      <w:jc w:val="left"/>
    </w:pPr>
    <w:rPr>
      <w:rFonts w:hint="eastAsia"/>
      <w:color w:val="auto"/>
      <w:sz w:val="18"/>
      <w:szCs w:val="32"/>
    </w:rPr>
  </w:style>
  <w:style w:type="paragraph" w:styleId="9">
    <w:name w:val="Title"/>
    <w:basedOn w:val="1"/>
    <w:qFormat/>
    <w:uiPriority w:val="0"/>
    <w:pPr>
      <w:spacing w:before="240" w:after="60"/>
      <w:jc w:val="center"/>
      <w:outlineLvl w:val="0"/>
    </w:pPr>
    <w:rPr>
      <w:rFonts w:ascii="Arial" w:hAnsi="Arial" w:cs="Times New Roman"/>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4">
    <w:name w:val="标题 3 Char"/>
    <w:link w:val="2"/>
    <w:qFormat/>
    <w:uiPriority w:val="0"/>
    <w:rPr>
      <w:b/>
      <w:sz w:val="32"/>
    </w:rPr>
  </w:style>
  <w:style w:type="paragraph" w:styleId="15">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6">
    <w:name w:val="font41"/>
    <w:basedOn w:val="12"/>
    <w:qFormat/>
    <w:uiPriority w:val="0"/>
    <w:rPr>
      <w:rFonts w:hint="eastAsia" w:ascii="仿宋" w:hAnsi="仿宋" w:eastAsia="仿宋" w:cs="仿宋"/>
      <w:color w:val="000000"/>
      <w:sz w:val="22"/>
      <w:szCs w:val="22"/>
      <w:u w:val="none"/>
    </w:rPr>
  </w:style>
  <w:style w:type="character" w:customStyle="1" w:styleId="17">
    <w:name w:val="font61"/>
    <w:basedOn w:val="12"/>
    <w:qFormat/>
    <w:uiPriority w:val="0"/>
    <w:rPr>
      <w:rFonts w:hint="default" w:ascii="Times New Roman" w:hAnsi="Times New Roman" w:cs="Times New Roman"/>
      <w:color w:val="000000"/>
      <w:sz w:val="22"/>
      <w:szCs w:val="22"/>
      <w:u w:val="none"/>
    </w:rPr>
  </w:style>
  <w:style w:type="character" w:customStyle="1" w:styleId="18">
    <w:name w:val="font51"/>
    <w:basedOn w:val="12"/>
    <w:uiPriority w:val="0"/>
    <w:rPr>
      <w:rFonts w:hint="eastAsia" w:ascii="仿宋" w:hAnsi="仿宋" w:eastAsia="仿宋" w:cs="仿宋"/>
      <w:color w:val="000000"/>
      <w:sz w:val="16"/>
      <w:szCs w:val="16"/>
      <w:u w:val="none"/>
    </w:rPr>
  </w:style>
  <w:style w:type="character" w:customStyle="1" w:styleId="19">
    <w:name w:val="font31"/>
    <w:basedOn w:val="12"/>
    <w:uiPriority w:val="0"/>
    <w:rPr>
      <w:rFonts w:hint="eastAsia" w:ascii="宋体" w:hAnsi="宋体" w:eastAsia="宋体" w:cs="宋体"/>
      <w:color w:val="000000"/>
      <w:sz w:val="16"/>
      <w:szCs w:val="16"/>
      <w:u w:val="none"/>
    </w:rPr>
  </w:style>
  <w:style w:type="character" w:customStyle="1" w:styleId="20">
    <w:name w:val="font81"/>
    <w:basedOn w:val="12"/>
    <w:uiPriority w:val="0"/>
    <w:rPr>
      <w:rFonts w:hint="default" w:ascii="Arial" w:hAnsi="Arial" w:cs="Arial"/>
      <w:color w:val="000000"/>
      <w:sz w:val="16"/>
      <w:szCs w:val="16"/>
      <w:u w:val="none"/>
    </w:rPr>
  </w:style>
  <w:style w:type="character" w:customStyle="1" w:styleId="21">
    <w:name w:val="font91"/>
    <w:basedOn w:val="12"/>
    <w:qFormat/>
    <w:uiPriority w:val="0"/>
    <w:rPr>
      <w:rFonts w:hint="eastAsia" w:ascii="仿宋" w:hAnsi="仿宋" w:eastAsia="仿宋" w:cs="仿宋"/>
      <w:b/>
      <w:bCs/>
      <w:color w:val="000000"/>
      <w:sz w:val="16"/>
      <w:szCs w:val="16"/>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3088</Words>
  <Characters>3144</Characters>
  <Lines>0</Lines>
  <Paragraphs>0</Paragraphs>
  <TotalTime>216</TotalTime>
  <ScaleCrop>false</ScaleCrop>
  <LinksUpToDate>false</LinksUpToDate>
  <CharactersWithSpaces>3184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WPS_1569745718</cp:lastModifiedBy>
  <cp:lastPrinted>2026-02-25T01:59:00Z</cp:lastPrinted>
  <dcterms:modified xsi:type="dcterms:W3CDTF">2026-05-08T06:15:12Z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530DB44C05144CF7AF6571B1532D0689_13</vt:lpwstr>
  </property>
  <property fmtid="{D5CDD505-2E9C-101B-9397-08002B2CF9AE}" pid="4" name="KSOTemplateDocerSaveRecord">
    <vt:lpwstr>eyJoZGlkIjoiZTYyMDczZGRhZjNiZjg5MTJhMWY4ZmJkZjE0ODlhZjQiLCJ1c2VySWQiOiI2Nzc3MDY5ODMifQ==</vt:lpwstr>
  </property>
</Properties>
</file>