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rPr>
                <w:rFonts w:hint="eastAsia"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项目名称：贵州航天医院医疗废物集中贮存处置</w:t>
            </w:r>
            <w:r>
              <w:rPr>
                <w:rFonts w:hint="eastAsia" w:ascii="FangSong_GB2312" w:hAnsi="FangSong_GB2312" w:eastAsia="FangSong_GB2312" w:cs="FangSong_GB2312"/>
                <w:color w:val="000000"/>
                <w:kern w:val="0"/>
                <w:sz w:val="24"/>
                <w:lang w:val="en-US" w:eastAsia="zh-CN" w:bidi="ar"/>
              </w:rPr>
              <w:t>项目</w:t>
            </w:r>
          </w:p>
        </w:tc>
      </w:tr>
      <w:tr w14:paraId="4746C0D9">
        <w:tblPrEx>
          <w:tblCellMar>
            <w:top w:w="0" w:type="dxa"/>
            <w:left w:w="108" w:type="dxa"/>
            <w:bottom w:w="0" w:type="dxa"/>
            <w:right w:w="108" w:type="dxa"/>
          </w:tblCellMar>
        </w:tblPrEx>
        <w:trPr>
          <w:trHeight w:val="463" w:hRule="atLeast"/>
          <w:jc w:val="center"/>
        </w:trPr>
        <w:tc>
          <w:tcPr>
            <w:tcW w:w="5000" w:type="pct"/>
            <w:tcBorders>
              <w:top w:val="nil"/>
              <w:left w:val="nil"/>
              <w:bottom w:val="nil"/>
              <w:right w:val="nil"/>
            </w:tcBorders>
            <w:noWrap/>
            <w:vAlign w:val="center"/>
          </w:tcPr>
          <w:p w14:paraId="253F7F16">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04578010">
            <w:pP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48万元/年</w:t>
            </w:r>
          </w:p>
        </w:tc>
      </w:tr>
      <w:tr w14:paraId="6EFDEDFB">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50C2371A">
            <w:pPr>
              <w:widowControl/>
              <w:ind w:firstLine="480" w:firstLineChars="200"/>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48万元/年</w:t>
            </w:r>
          </w:p>
        </w:tc>
      </w:tr>
      <w:tr w14:paraId="07E585D1">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3409BF9A">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采购需求：遴选1家医疗废物集中贮存处置项目服务单位；评分方法见附件1，详细采购要求见附件2</w:t>
            </w:r>
            <w:bookmarkStart w:id="0" w:name="_GoBack"/>
            <w:bookmarkEnd w:id="0"/>
          </w:p>
        </w:tc>
      </w:tr>
      <w:tr w14:paraId="521B566D">
        <w:tblPrEx>
          <w:tblCellMar>
            <w:top w:w="0" w:type="dxa"/>
            <w:left w:w="108" w:type="dxa"/>
            <w:bottom w:w="0" w:type="dxa"/>
            <w:right w:w="108" w:type="dxa"/>
          </w:tblCellMar>
        </w:tblPrEx>
        <w:trPr>
          <w:trHeight w:val="494" w:hRule="atLeast"/>
          <w:jc w:val="center"/>
        </w:trPr>
        <w:tc>
          <w:tcPr>
            <w:tcW w:w="5000" w:type="pct"/>
            <w:tcBorders>
              <w:top w:val="nil"/>
              <w:left w:val="nil"/>
              <w:bottom w:val="nil"/>
              <w:right w:val="nil"/>
            </w:tcBorders>
            <w:noWrap/>
            <w:vAlign w:val="center"/>
          </w:tcPr>
          <w:p w14:paraId="22E42E48">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采购期：服务期三年，经考核合格后，合同一年一签。</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合同履行期限：合同生效之日起开始履行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739" w:hRule="atLeast"/>
          <w:jc w:val="center"/>
        </w:trPr>
        <w:tc>
          <w:tcPr>
            <w:tcW w:w="5000" w:type="pct"/>
            <w:tcBorders>
              <w:top w:val="nil"/>
              <w:left w:val="nil"/>
              <w:bottom w:val="nil"/>
              <w:right w:val="nil"/>
            </w:tcBorders>
            <w:vAlign w:val="center"/>
          </w:tcPr>
          <w:p w14:paraId="5C6EFC28">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（一）具有中华人民共和国独立法人资格，具有独立履约能力（投标函、法定代表人身份证明、授权委托书）；</w:t>
            </w:r>
          </w:p>
        </w:tc>
      </w:tr>
      <w:tr w14:paraId="2846FAC1">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6EE8F3B1">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（二）具有与项目相适应的资质（独立法人、营业执照、税务登记证、危险废物经营许可证、道路运输经营许可证（危险废物运输）、组织机构代码证（或三证合一）等）；</w:t>
            </w:r>
          </w:p>
        </w:tc>
      </w:tr>
      <w:tr w14:paraId="34FBCFF4">
        <w:tblPrEx>
          <w:tblCellMar>
            <w:top w:w="0" w:type="dxa"/>
            <w:left w:w="108" w:type="dxa"/>
            <w:bottom w:w="0" w:type="dxa"/>
            <w:right w:w="108" w:type="dxa"/>
          </w:tblCellMar>
        </w:tblPrEx>
        <w:trPr>
          <w:trHeight w:val="637" w:hRule="atLeast"/>
          <w:jc w:val="center"/>
        </w:trPr>
        <w:tc>
          <w:tcPr>
            <w:tcW w:w="5000" w:type="pct"/>
            <w:tcBorders>
              <w:top w:val="nil"/>
              <w:left w:val="nil"/>
              <w:bottom w:val="nil"/>
              <w:right w:val="nil"/>
            </w:tcBorders>
            <w:vAlign w:val="center"/>
          </w:tcPr>
          <w:p w14:paraId="73C0C5B6">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（三）具有良好的社会信誉；</w:t>
            </w:r>
          </w:p>
        </w:tc>
      </w:tr>
      <w:tr w14:paraId="477D5069">
        <w:tblPrEx>
          <w:tblCellMar>
            <w:top w:w="0" w:type="dxa"/>
            <w:left w:w="108" w:type="dxa"/>
            <w:bottom w:w="0" w:type="dxa"/>
            <w:right w:w="108" w:type="dxa"/>
          </w:tblCellMar>
        </w:tblPrEx>
        <w:trPr>
          <w:trHeight w:val="405" w:hRule="atLeast"/>
          <w:jc w:val="center"/>
        </w:trPr>
        <w:tc>
          <w:tcPr>
            <w:tcW w:w="5000" w:type="pct"/>
            <w:tcBorders>
              <w:top w:val="nil"/>
              <w:left w:val="nil"/>
              <w:bottom w:val="nil"/>
              <w:right w:val="nil"/>
            </w:tcBorders>
            <w:vAlign w:val="center"/>
          </w:tcPr>
          <w:p w14:paraId="10A82241">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（四）近1年财务审计报告（需体现盈利）；</w:t>
            </w:r>
          </w:p>
        </w:tc>
      </w:tr>
      <w:tr w14:paraId="59049C1D">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63FF8CB4">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（五）近3个月纳税和社保缴纳证明；</w:t>
            </w:r>
          </w:p>
        </w:tc>
      </w:tr>
      <w:tr w14:paraId="70378CB9">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553A8D4B">
            <w:pPr>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（六）同类医疗废物转运处置项目业绩证明（合同关键页+验收报告复印件），无重大安全/环保事故记录。</w:t>
            </w:r>
          </w:p>
        </w:tc>
      </w:tr>
      <w:tr w14:paraId="0ED5D76A">
        <w:tblPrEx>
          <w:tblCellMar>
            <w:top w:w="0" w:type="dxa"/>
            <w:left w:w="108" w:type="dxa"/>
            <w:bottom w:w="0" w:type="dxa"/>
            <w:right w:w="108" w:type="dxa"/>
          </w:tblCellMar>
        </w:tblPrEx>
        <w:trPr>
          <w:trHeight w:val="535" w:hRule="atLeast"/>
          <w:jc w:val="center"/>
        </w:trPr>
        <w:tc>
          <w:tcPr>
            <w:tcW w:w="5000" w:type="pct"/>
            <w:tcBorders>
              <w:top w:val="nil"/>
              <w:left w:val="nil"/>
              <w:bottom w:val="nil"/>
              <w:right w:val="nil"/>
            </w:tcBorders>
            <w:vAlign w:val="center"/>
          </w:tcPr>
          <w:p w14:paraId="16595990">
            <w:pPr>
              <w:numPr>
                <w:ilvl w:val="0"/>
                <w:numId w:val="1"/>
              </w:numPr>
              <w:ind w:left="480" w:leftChars="0" w:firstLine="0" w:firstLineChars="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技术部分</w:t>
            </w:r>
          </w:p>
          <w:p w14:paraId="006CDB01">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1.服务方案（含人员配置表（管理人员1名、院内转运人员4名）、人员防护、转运车辆、设备（包含固废可追溯系统、手持机等）、台账管理等）；</w:t>
            </w:r>
          </w:p>
          <w:p w14:paraId="51FF9477">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2.行业操作规范：需细化五类（感染性、损伤性、病理性、化学性、药物性）医疗废物及污水处理站污泥、残肢、死婴死胎的分类收集、院内转运、院内贮存、密闭运输、转运交接、院外转运合规处置流程）；</w:t>
            </w:r>
          </w:p>
          <w:p w14:paraId="73491806">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3.应急预案（包括医疗废物丢失、车辆故障、人员短缺、突发公共卫生事件场景）。</w:t>
            </w:r>
          </w:p>
          <w:p w14:paraId="298F660E">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4.按要求和规范，填写日常记录，建立台账，报表归档备查。</w:t>
            </w:r>
          </w:p>
          <w:p w14:paraId="779D1AA1">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5.若出现重大污染事故、意外停电或其他可能影响贮存、转运处置的情况时，及时向业主单位和上级主管部门报告并制订整改措施，并启动预先制定的应急处置方案。</w:t>
            </w:r>
          </w:p>
          <w:p w14:paraId="262FEC2F">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6.承担因自身管理、操作、运输事故等不当所造成的一切经济处罚。</w:t>
            </w:r>
          </w:p>
          <w:p w14:paraId="57500104">
            <w:pPr>
              <w:ind w:firstLine="480" w:firstLineChars="200"/>
              <w:rPr>
                <w:rFonts w:hint="default"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7.利用自身的资源与技术优势，为医院提供专业的环保相关问题咨询、解决方案及技术与政策指导。</w:t>
            </w:r>
          </w:p>
          <w:p w14:paraId="17A91A1A">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（八）价格部分：</w:t>
            </w:r>
          </w:p>
          <w:p w14:paraId="7F3549B3">
            <w:pPr>
              <w:ind w:firstLine="480" w:firstLineChars="200"/>
              <w:rPr>
                <w:rFonts w:hint="eastAsia" w:eastAsia="FangSong_GB2312" w:asciiTheme="minorHAnsi" w:hAnsiTheme="minorHAnsi" w:cstheme="minorHAnsi"/>
                <w:color w:val="000000"/>
                <w:kern w:val="0"/>
                <w:sz w:val="24"/>
                <w:szCs w:val="24"/>
                <w:lang w:val="en-US" w:eastAsia="zh-CN" w:bidi="ar"/>
              </w:rPr>
            </w:pPr>
            <w:r>
              <w:rPr>
                <w:rFonts w:hint="eastAsia" w:eastAsia="FangSong_GB2312" w:asciiTheme="minorHAnsi" w:hAnsiTheme="minorHAnsi" w:cstheme="minorHAnsi"/>
                <w:color w:val="000000"/>
                <w:kern w:val="0"/>
                <w:sz w:val="24"/>
                <w:szCs w:val="24"/>
                <w:lang w:val="en-US" w:eastAsia="zh-CN" w:bidi="ar"/>
              </w:rPr>
              <w:t>投标报价表（需分项报价：人员工资、医疗废物处置费用、车辆、设备（包含固废可追溯系统、手持机等）、运输、管理费用等）。</w:t>
            </w:r>
          </w:p>
          <w:p w14:paraId="6EF3D8F3">
            <w:pPr>
              <w:pStyle w:val="6"/>
              <w:ind w:firstLine="480" w:firstLineChars="200"/>
              <w:rPr>
                <w:rFonts w:hint="eastAsia" w:ascii="FangSong_GB2312" w:hAnsi="FangSong_GB2312" w:eastAsia="FangSong_GB2312" w:cs="FangSong_GB2312"/>
                <w:color w:val="000000"/>
                <w:kern w:val="0"/>
                <w:sz w:val="24"/>
                <w:lang w:val="en-US" w:eastAsia="zh-CN" w:bidi="ar"/>
              </w:rPr>
            </w:pPr>
            <w:r>
              <w:rPr>
                <w:rFonts w:hint="eastAsia" w:eastAsia="FangSong_GB2312" w:asciiTheme="minorHAnsi" w:hAnsiTheme="minorHAnsi" w:cstheme="minorHAnsi"/>
                <w:color w:val="000000"/>
                <w:kern w:val="0"/>
                <w:sz w:val="24"/>
                <w:szCs w:val="24"/>
                <w:lang w:val="en-US" w:eastAsia="zh-CN" w:bidi="ar"/>
              </w:rPr>
              <w:t>（九）</w:t>
            </w:r>
            <w:r>
              <w:rPr>
                <w:rFonts w:hint="eastAsia" w:eastAsia="FangSong_GB2312" w:asciiTheme="minorHAnsi" w:hAnsiTheme="minorHAnsi" w:cstheme="minorHAnsi"/>
                <w:i w:val="0"/>
                <w:iCs w:val="0"/>
                <w:color w:val="000000"/>
                <w:kern w:val="0"/>
                <w:sz w:val="24"/>
                <w:szCs w:val="24"/>
                <w:lang w:val="en-US" w:eastAsia="zh-CN" w:bidi="ar"/>
              </w:rPr>
              <w:t>投标书需包含托管运营承诺书，并承诺在托管运营期间，因乙方故意或重大过失导致甲方被行政处罚的，乙方应全额赔偿罚款及维权合理开支（律师费、差旅费等），并支付罚款金额100%的违约金。</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62"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523"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524"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0A52C447">
        <w:tblPrEx>
          <w:tblCellMar>
            <w:top w:w="0" w:type="dxa"/>
            <w:left w:w="108" w:type="dxa"/>
            <w:bottom w:w="0" w:type="dxa"/>
            <w:right w:w="108" w:type="dxa"/>
          </w:tblCellMar>
        </w:tblPrEx>
        <w:trPr>
          <w:trHeight w:val="501" w:hRule="atLeast"/>
          <w:jc w:val="center"/>
        </w:trPr>
        <w:tc>
          <w:tcPr>
            <w:tcW w:w="5000" w:type="pct"/>
            <w:tcBorders>
              <w:top w:val="nil"/>
              <w:left w:val="nil"/>
              <w:bottom w:val="nil"/>
              <w:right w:val="nil"/>
            </w:tcBorders>
            <w:vAlign w:val="center"/>
          </w:tcPr>
          <w:p w14:paraId="7C0F494F">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是否接受联合体投标：否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val="en-US" w:eastAsia="zh-CN" w:bidi="ar"/>
              </w:rPr>
              <w:t>采购办赵老师</w:t>
            </w:r>
            <w:r>
              <w:rPr>
                <w:rFonts w:hint="eastAsia" w:ascii="FangSong_GB2312" w:hAnsi="FangSong_GB2312" w:eastAsia="FangSong_GB2312" w:cs="FangSong_GB2312"/>
                <w:color w:val="auto"/>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4EF9A13">
            <w:pPr>
              <w:widowControl/>
              <w:jc w:val="left"/>
              <w:textAlignment w:val="center"/>
              <w:rPr>
                <w:rFonts w:hint="default" w:ascii="FangSong_GB2312" w:hAnsi="FangSong_GB2312" w:eastAsia="FangSong_GB2312" w:cs="FangSong_GB2312"/>
                <w:color w:val="auto"/>
                <w:kern w:val="0"/>
                <w:sz w:val="24"/>
                <w:lang w:val="en-US" w:eastAsia="zh-CN" w:bidi="ar"/>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7A29BE9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5754D80">
            <w:pPr>
              <w:widowControl/>
              <w:ind w:firstLine="480" w:firstLineChars="200"/>
              <w:jc w:val="left"/>
              <w:textAlignment w:val="center"/>
              <w:rPr>
                <w:rFonts w:hint="eastAsia" w:ascii="FangSong_GB2312" w:hAnsi="FangSong_GB2312" w:eastAsia="FangSong_GB2312" w:cs="FangSong_GB2312"/>
                <w:color w:val="auto"/>
                <w:kern w:val="0"/>
                <w:sz w:val="24"/>
                <w:lang w:eastAsia="zh-CN" w:bidi="ar"/>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p>
        </w:tc>
      </w:tr>
      <w:tr w14:paraId="4CFCDB2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2E1E86">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28E74575">
      <w:pPr>
        <w:rPr>
          <w:rFonts w:hint="eastAsia" w:ascii="仿宋" w:hAnsi="仿宋" w:eastAsia="仿宋"/>
          <w:bCs/>
          <w:sz w:val="28"/>
          <w:szCs w:val="28"/>
          <w:lang w:val="en-US" w:eastAsia="zh-CN"/>
        </w:rPr>
      </w:pPr>
    </w:p>
    <w:p w14:paraId="30D5AF04">
      <w:pPr>
        <w:rPr>
          <w:rFonts w:hint="eastAsia" w:ascii="仿宋" w:hAnsi="仿宋" w:eastAsia="仿宋"/>
          <w:bCs/>
          <w:sz w:val="28"/>
          <w:szCs w:val="28"/>
          <w:lang w:val="en-US" w:eastAsia="zh-CN"/>
        </w:rPr>
      </w:pPr>
    </w:p>
    <w:p w14:paraId="648EB638">
      <w:pPr>
        <w:rPr>
          <w:rFonts w:hint="eastAsia" w:ascii="仿宋" w:hAnsi="仿宋" w:eastAsia="仿宋"/>
          <w:bCs/>
          <w:sz w:val="28"/>
          <w:szCs w:val="28"/>
          <w:lang w:val="en-US" w:eastAsia="zh-CN"/>
        </w:rPr>
      </w:pPr>
    </w:p>
    <w:p w14:paraId="3A74A34C">
      <w:pPr>
        <w:rPr>
          <w:rFonts w:hint="eastAsia" w:ascii="仿宋" w:hAnsi="仿宋" w:eastAsia="仿宋"/>
          <w:bCs/>
          <w:sz w:val="28"/>
          <w:szCs w:val="28"/>
          <w:lang w:val="en-US" w:eastAsia="zh-CN"/>
        </w:rPr>
      </w:pPr>
    </w:p>
    <w:p w14:paraId="6282223C">
      <w:pPr>
        <w:rPr>
          <w:rFonts w:hint="eastAsia" w:ascii="仿宋" w:hAnsi="仿宋" w:eastAsia="仿宋"/>
          <w:bCs/>
          <w:sz w:val="28"/>
          <w:szCs w:val="28"/>
          <w:lang w:val="en-US" w:eastAsia="zh-CN"/>
        </w:rPr>
      </w:pPr>
    </w:p>
    <w:p w14:paraId="55DDEF0B">
      <w:pPr>
        <w:rPr>
          <w:rFonts w:hint="eastAsia" w:ascii="仿宋" w:hAnsi="仿宋" w:eastAsia="仿宋"/>
          <w:bCs/>
          <w:sz w:val="28"/>
          <w:szCs w:val="28"/>
          <w:lang w:val="en-US" w:eastAsia="zh-CN"/>
        </w:rPr>
      </w:pPr>
    </w:p>
    <w:p w14:paraId="66D96E5F">
      <w:pPr>
        <w:rPr>
          <w:rFonts w:hint="eastAsia" w:ascii="仿宋" w:hAnsi="仿宋" w:eastAsia="仿宋"/>
          <w:bCs/>
          <w:sz w:val="28"/>
          <w:szCs w:val="28"/>
          <w:lang w:val="en-US" w:eastAsia="zh-CN"/>
        </w:rPr>
      </w:pPr>
    </w:p>
    <w:p w14:paraId="3F4CB31A">
      <w:pPr>
        <w:rPr>
          <w:rFonts w:hint="eastAsia" w:ascii="仿宋" w:hAnsi="仿宋" w:eastAsia="仿宋"/>
          <w:bCs/>
          <w:sz w:val="28"/>
          <w:szCs w:val="28"/>
          <w:lang w:val="en-US" w:eastAsia="zh-CN"/>
        </w:rPr>
      </w:pPr>
    </w:p>
    <w:p w14:paraId="18E9DFD4">
      <w:pPr>
        <w:rPr>
          <w:rFonts w:hint="eastAsia" w:ascii="仿宋" w:hAnsi="仿宋" w:eastAsia="仿宋"/>
          <w:bCs/>
          <w:sz w:val="28"/>
          <w:szCs w:val="28"/>
          <w:lang w:val="en-US" w:eastAsia="zh-CN"/>
        </w:rPr>
      </w:pPr>
    </w:p>
    <w:p w14:paraId="22BAF432">
      <w:pPr>
        <w:rPr>
          <w:rFonts w:hint="eastAsia" w:ascii="仿宋" w:hAnsi="仿宋" w:eastAsia="仿宋"/>
          <w:bCs/>
          <w:sz w:val="28"/>
          <w:szCs w:val="28"/>
          <w:lang w:val="en-US" w:eastAsia="zh-CN"/>
        </w:rPr>
      </w:pPr>
    </w:p>
    <w:p w14:paraId="723E3F46">
      <w:pPr>
        <w:rPr>
          <w:rFonts w:hint="eastAsia" w:ascii="仿宋" w:hAnsi="仿宋" w:eastAsia="仿宋"/>
          <w:bCs/>
          <w:sz w:val="28"/>
          <w:szCs w:val="28"/>
          <w:lang w:val="en-US" w:eastAsia="zh-CN"/>
        </w:rPr>
      </w:pPr>
    </w:p>
    <w:p w14:paraId="2911FD1F">
      <w:pPr>
        <w:rPr>
          <w:rFonts w:hint="eastAsia" w:ascii="仿宋" w:hAnsi="仿宋" w:eastAsia="仿宋"/>
          <w:bCs/>
          <w:sz w:val="28"/>
          <w:szCs w:val="28"/>
        </w:rPr>
      </w:pPr>
    </w:p>
    <w:p w14:paraId="0067EB0F">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评分</w:t>
      </w:r>
      <w:r>
        <w:rPr>
          <w:rFonts w:hint="eastAsia" w:ascii="黑体" w:hAnsi="黑体" w:eastAsia="黑体" w:cs="黑体"/>
          <w:color w:val="auto"/>
          <w:sz w:val="32"/>
          <w:szCs w:val="32"/>
          <w:lang w:val="en-US" w:eastAsia="zh-CN"/>
        </w:rPr>
        <w:t>方法</w:t>
      </w:r>
    </w:p>
    <w:tbl>
      <w:tblPr>
        <w:tblStyle w:val="10"/>
        <w:tblW w:w="11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3855"/>
        <w:gridCol w:w="1725"/>
        <w:gridCol w:w="1575"/>
        <w:gridCol w:w="1800"/>
      </w:tblGrid>
      <w:tr w14:paraId="3AEC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220" w:type="dxa"/>
            <w:gridSpan w:val="5"/>
            <w:tcBorders>
              <w:top w:val="nil"/>
              <w:left w:val="nil"/>
              <w:bottom w:val="nil"/>
              <w:right w:val="nil"/>
            </w:tcBorders>
            <w:shd w:val="clear" w:color="auto" w:fill="auto"/>
            <w:noWrap/>
            <w:vAlign w:val="center"/>
          </w:tcPr>
          <w:p w14:paraId="68126759">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贵州航天医院项目竞争性磋商综合评分表</w:t>
            </w:r>
          </w:p>
        </w:tc>
      </w:tr>
      <w:tr w14:paraId="0D63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r>
              <w:rPr>
                <w:rFonts w:hint="eastAsia" w:ascii="FangSong_GB2312" w:hAnsi="FangSong_GB2312" w:eastAsia="FangSong_GB2312" w:cs="FangSong_GB2312"/>
                <w:color w:val="000000"/>
                <w:kern w:val="0"/>
                <w:sz w:val="24"/>
                <w:lang w:bidi="ar"/>
              </w:rPr>
              <w:t>医疗废物集中贮存处置</w:t>
            </w:r>
            <w:r>
              <w:rPr>
                <w:rFonts w:hint="eastAsia" w:ascii="FangSong_GB2312" w:hAnsi="FangSong_GB2312" w:eastAsia="FangSong_GB2312" w:cs="FangSong_GB2312"/>
                <w:color w:val="000000"/>
                <w:kern w:val="0"/>
                <w:sz w:val="24"/>
                <w:lang w:val="en-US" w:eastAsia="zh-CN" w:bidi="ar"/>
              </w:rPr>
              <w:t>项目</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开标时间：                       开标地点：</w:t>
            </w:r>
          </w:p>
        </w:tc>
      </w:tr>
      <w:tr w14:paraId="1637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6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8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0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6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r>
      <w:tr w14:paraId="3D3D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vMerge w:val="restart"/>
            <w:tcBorders>
              <w:top w:val="single" w:color="000000" w:sz="4" w:space="0"/>
              <w:left w:val="single" w:color="000000" w:sz="4" w:space="0"/>
              <w:right w:val="single" w:color="000000" w:sz="4" w:space="0"/>
            </w:tcBorders>
            <w:shd w:val="clear" w:color="auto" w:fill="auto"/>
            <w:vAlign w:val="center"/>
          </w:tcPr>
          <w:p w14:paraId="13FB0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企业资质（</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8865AA0">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提供营业执照、相关资质证明资料（</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（缺一项扣1分）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0F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BBF9">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218">
            <w:pPr>
              <w:rPr>
                <w:rFonts w:hint="eastAsia" w:ascii="宋体" w:hAnsi="宋体" w:eastAsia="宋体" w:cs="宋体"/>
                <w:i w:val="0"/>
                <w:iCs w:val="0"/>
                <w:color w:val="000000"/>
                <w:sz w:val="22"/>
                <w:szCs w:val="22"/>
                <w:u w:val="none"/>
              </w:rPr>
            </w:pPr>
          </w:p>
        </w:tc>
      </w:tr>
      <w:tr w14:paraId="2865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2265" w:type="dxa"/>
            <w:vMerge w:val="continue"/>
            <w:tcBorders>
              <w:left w:val="single" w:color="000000" w:sz="4" w:space="0"/>
              <w:right w:val="single" w:color="000000" w:sz="4" w:space="0"/>
            </w:tcBorders>
            <w:shd w:val="clear" w:color="auto" w:fill="auto"/>
            <w:vAlign w:val="center"/>
          </w:tcPr>
          <w:p w14:paraId="74622E69">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right w:val="single" w:color="000000" w:sz="4" w:space="0"/>
            </w:tcBorders>
            <w:shd w:val="clear" w:color="auto" w:fill="auto"/>
            <w:vAlign w:val="top"/>
          </w:tcPr>
          <w:p w14:paraId="58BCE4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年财务报表(成立不满1年的企业的酌情提供)</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。（报表完整10分；报表缺项5分）</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78C76C">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66DAA0">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FD2859">
            <w:pPr>
              <w:rPr>
                <w:rFonts w:hint="eastAsia" w:ascii="宋体" w:hAnsi="宋体" w:eastAsia="宋体" w:cs="宋体"/>
                <w:i w:val="0"/>
                <w:iCs w:val="0"/>
                <w:color w:val="000000"/>
                <w:sz w:val="22"/>
                <w:szCs w:val="22"/>
                <w:u w:val="none"/>
              </w:rPr>
            </w:pPr>
          </w:p>
        </w:tc>
      </w:tr>
      <w:tr w14:paraId="667A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5" w:type="dxa"/>
            <w:vMerge w:val="restart"/>
            <w:tcBorders>
              <w:top w:val="single" w:color="000000" w:sz="4" w:space="0"/>
              <w:left w:val="single" w:color="000000" w:sz="4" w:space="0"/>
              <w:right w:val="single" w:color="000000" w:sz="4" w:space="0"/>
            </w:tcBorders>
            <w:shd w:val="clear" w:color="auto" w:fill="auto"/>
            <w:vAlign w:val="center"/>
          </w:tcPr>
          <w:p w14:paraId="7355B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服务能力</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1E76FA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人员配置（10分）：</w:t>
            </w:r>
            <w:r>
              <w:rPr>
                <w:rFonts w:hint="eastAsia" w:ascii="宋体" w:hAnsi="宋体" w:cs="宋体"/>
                <w:i w:val="0"/>
                <w:iCs w:val="0"/>
                <w:color w:val="000000"/>
                <w:kern w:val="0"/>
                <w:sz w:val="22"/>
                <w:szCs w:val="22"/>
                <w:u w:val="none"/>
                <w:lang w:val="en-US" w:eastAsia="zh-CN" w:bidi="ar"/>
              </w:rPr>
              <w:t>院内转运</w:t>
            </w:r>
            <w:r>
              <w:rPr>
                <w:rFonts w:hint="eastAsia" w:ascii="宋体" w:hAnsi="宋体" w:eastAsia="宋体" w:cs="宋体"/>
                <w:i w:val="0"/>
                <w:iCs w:val="0"/>
                <w:color w:val="000000"/>
                <w:kern w:val="0"/>
                <w:sz w:val="22"/>
                <w:szCs w:val="22"/>
                <w:u w:val="none"/>
                <w:lang w:val="en-US" w:eastAsia="zh-CN" w:bidi="ar"/>
              </w:rPr>
              <w:t>员满足要求（每少1人扣2分）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5B04E94">
            <w:pPr>
              <w:rPr>
                <w:rFonts w:hint="eastAsia" w:ascii="宋体" w:hAnsi="宋体" w:eastAsia="宋体" w:cs="宋体"/>
                <w:i w:val="0"/>
                <w:iCs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09109E7">
            <w:pPr>
              <w:rPr>
                <w:rFonts w:hint="eastAsia" w:ascii="宋体" w:hAnsi="宋体" w:eastAsia="宋体" w:cs="宋体"/>
                <w:i w:val="0"/>
                <w:iCs w:val="0"/>
                <w:color w:val="000000"/>
                <w:sz w:val="22"/>
                <w:szCs w:val="22"/>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9466625">
            <w:pPr>
              <w:rPr>
                <w:rFonts w:hint="eastAsia" w:ascii="宋体" w:hAnsi="宋体" w:eastAsia="宋体" w:cs="宋体"/>
                <w:i w:val="0"/>
                <w:iCs w:val="0"/>
                <w:color w:val="000000"/>
                <w:sz w:val="22"/>
                <w:szCs w:val="22"/>
                <w:u w:val="none"/>
              </w:rPr>
            </w:pPr>
          </w:p>
        </w:tc>
      </w:tr>
      <w:tr w14:paraId="1504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5" w:type="dxa"/>
            <w:vMerge w:val="continue"/>
            <w:tcBorders>
              <w:left w:val="single" w:color="000000" w:sz="4" w:space="0"/>
              <w:right w:val="single" w:color="000000" w:sz="4" w:space="0"/>
            </w:tcBorders>
            <w:shd w:val="clear" w:color="auto" w:fill="auto"/>
            <w:vAlign w:val="center"/>
          </w:tcPr>
          <w:p w14:paraId="34AC8D48">
            <w:pPr>
              <w:keepNext w:val="0"/>
              <w:keepLines w:val="0"/>
              <w:widowControl/>
              <w:suppressLineNumbers w:val="0"/>
              <w:jc w:val="left"/>
              <w:textAlignment w:val="top"/>
            </w:pP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6F8275A0">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设备配备（10分）：车辆数量、</w:t>
            </w:r>
            <w:r>
              <w:rPr>
                <w:rFonts w:hint="eastAsia" w:ascii="宋体" w:hAnsi="宋体" w:cs="宋体"/>
                <w:i w:val="0"/>
                <w:iCs w:val="0"/>
                <w:color w:val="000000"/>
                <w:kern w:val="0"/>
                <w:sz w:val="22"/>
                <w:szCs w:val="22"/>
                <w:u w:val="none"/>
                <w:lang w:val="en-US" w:eastAsia="zh-CN" w:bidi="ar"/>
              </w:rPr>
              <w:t>扫码机等设备</w:t>
            </w:r>
            <w:r>
              <w:rPr>
                <w:rFonts w:hint="eastAsia" w:ascii="宋体" w:hAnsi="宋体" w:eastAsia="宋体" w:cs="宋体"/>
                <w:i w:val="0"/>
                <w:iCs w:val="0"/>
                <w:color w:val="000000"/>
                <w:kern w:val="0"/>
                <w:sz w:val="22"/>
                <w:szCs w:val="22"/>
                <w:u w:val="none"/>
                <w:lang w:val="en-US" w:eastAsia="zh-CN" w:bidi="ar"/>
              </w:rPr>
              <w:t>类型符合要求（每少1辆扣3分）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51098A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B035B7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8403CA4">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r>
      <w:tr w14:paraId="77D6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5" w:type="dxa"/>
            <w:vMerge w:val="continue"/>
            <w:tcBorders>
              <w:left w:val="single" w:color="000000" w:sz="4" w:space="0"/>
              <w:bottom w:val="single" w:color="000000" w:sz="4" w:space="0"/>
              <w:right w:val="single" w:color="000000" w:sz="4" w:space="0"/>
            </w:tcBorders>
            <w:shd w:val="clear" w:color="auto" w:fill="auto"/>
            <w:vAlign w:val="center"/>
          </w:tcPr>
          <w:p w14:paraId="740454E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3855" w:type="dxa"/>
            <w:tcBorders>
              <w:top w:val="single" w:color="000000" w:sz="4" w:space="0"/>
              <w:left w:val="single" w:color="000000" w:sz="4" w:space="0"/>
              <w:bottom w:val="single" w:color="000000" w:sz="4" w:space="0"/>
              <w:right w:val="single" w:color="auto" w:sz="4" w:space="0"/>
            </w:tcBorders>
            <w:shd w:val="clear" w:color="auto" w:fill="auto"/>
            <w:vAlign w:val="top"/>
          </w:tcPr>
          <w:p w14:paraId="4D1DC40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类似项目经验（5分）：每提供1个案例</w:t>
            </w:r>
            <w:r>
              <w:rPr>
                <w:rFonts w:hint="eastAsia" w:ascii="宋体" w:hAnsi="宋体" w:cs="宋体"/>
                <w:i w:val="0"/>
                <w:iCs w:val="0"/>
                <w:color w:val="000000"/>
                <w:kern w:val="0"/>
                <w:sz w:val="22"/>
                <w:szCs w:val="22"/>
                <w:u w:val="none"/>
                <w:lang w:val="en-US" w:eastAsia="zh-CN" w:bidi="ar"/>
              </w:rPr>
              <w:t>得</w:t>
            </w:r>
            <w:r>
              <w:rPr>
                <w:rFonts w:hint="eastAsia" w:ascii="宋体" w:hAnsi="宋体" w:eastAsia="宋体" w:cs="宋体"/>
                <w:i w:val="0"/>
                <w:iCs w:val="0"/>
                <w:color w:val="000000"/>
                <w:kern w:val="0"/>
                <w:sz w:val="22"/>
                <w:szCs w:val="22"/>
                <w:u w:val="none"/>
                <w:lang w:val="en-US" w:eastAsia="zh-CN" w:bidi="ar"/>
              </w:rPr>
              <w:t>1分（最高5分）。</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5FE12ED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4F4BAB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99CFD2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tc>
      </w:tr>
      <w:tr w14:paraId="175C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7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价格方面（20分）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36B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采用低价优先法，投标报价得分=（评标基准价/投标报价）*30（评标基准价为有效投标报价的平均值）。</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82AD768">
            <w:pPr>
              <w:rPr>
                <w:rFonts w:hint="eastAsia" w:ascii="宋体" w:hAnsi="宋体" w:eastAsia="宋体" w:cs="宋体"/>
                <w:i w:val="0"/>
                <w:iCs w:val="0"/>
                <w:color w:val="000000"/>
                <w:sz w:val="22"/>
                <w:szCs w:val="22"/>
                <w:u w:val="none"/>
              </w:rPr>
            </w:pP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7CF2214">
            <w:pPr>
              <w:rPr>
                <w:rFonts w:hint="eastAsia" w:ascii="宋体" w:hAnsi="宋体" w:eastAsia="宋体" w:cs="宋体"/>
                <w:i w:val="0"/>
                <w:iCs w:val="0"/>
                <w:color w:val="000000"/>
                <w:sz w:val="22"/>
                <w:szCs w:val="22"/>
                <w:u w:val="none"/>
              </w:rPr>
            </w:pP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EBC4B1">
            <w:pPr>
              <w:rPr>
                <w:rFonts w:hint="eastAsia" w:ascii="宋体" w:hAnsi="宋体" w:eastAsia="宋体" w:cs="宋体"/>
                <w:i w:val="0"/>
                <w:iCs w:val="0"/>
                <w:color w:val="000000"/>
                <w:sz w:val="22"/>
                <w:szCs w:val="22"/>
                <w:u w:val="none"/>
              </w:rPr>
            </w:pPr>
          </w:p>
        </w:tc>
      </w:tr>
      <w:tr w14:paraId="3615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技术方案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0D7038">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服务方案完整性（</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分）：覆盖招标文件所有服务内容，无重大遗漏；</w:t>
            </w:r>
            <w:r>
              <w:rPr>
                <w:rFonts w:hint="eastAsia" w:ascii="宋体" w:hAnsi="宋体" w:cs="宋体"/>
                <w:i w:val="0"/>
                <w:iCs w:val="0"/>
                <w:color w:val="000000"/>
                <w:kern w:val="0"/>
                <w:sz w:val="22"/>
                <w:szCs w:val="22"/>
                <w:u w:val="none"/>
                <w:lang w:val="en-US" w:eastAsia="zh-CN" w:bidi="ar"/>
              </w:rPr>
              <w:t>（较好7-10分；一般3-6分；较差0-2分）</w:t>
            </w:r>
          </w:p>
          <w:p w14:paraId="612A2E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应急预案可行性（10分）：包含至少2种突发事件场景，响应措施具体（如</w:t>
            </w:r>
            <w:r>
              <w:rPr>
                <w:rFonts w:hint="eastAsia" w:ascii="宋体" w:hAnsi="宋体" w:cs="宋体"/>
                <w:i w:val="0"/>
                <w:iCs w:val="0"/>
                <w:color w:val="000000"/>
                <w:kern w:val="0"/>
                <w:sz w:val="22"/>
                <w:szCs w:val="22"/>
                <w:u w:val="none"/>
                <w:lang w:val="en-US" w:eastAsia="zh-CN" w:bidi="ar"/>
              </w:rPr>
              <w:t>医疗废物丢失、突发公共卫生事件、</w:t>
            </w:r>
            <w:r>
              <w:rPr>
                <w:rFonts w:hint="eastAsia" w:ascii="宋体" w:hAnsi="宋体" w:eastAsia="宋体" w:cs="宋体"/>
                <w:i w:val="0"/>
                <w:iCs w:val="0"/>
                <w:color w:val="000000"/>
                <w:kern w:val="0"/>
                <w:sz w:val="22"/>
                <w:szCs w:val="22"/>
                <w:u w:val="none"/>
                <w:lang w:val="en-US" w:eastAsia="zh-CN" w:bidi="ar"/>
              </w:rPr>
              <w:t>备用车辆调度、人员替补方案）。</w:t>
            </w:r>
            <w:r>
              <w:rPr>
                <w:rFonts w:hint="eastAsia" w:ascii="宋体" w:hAnsi="宋体" w:cs="宋体"/>
                <w:i w:val="0"/>
                <w:iCs w:val="0"/>
                <w:color w:val="000000"/>
                <w:kern w:val="0"/>
                <w:sz w:val="22"/>
                <w:szCs w:val="22"/>
                <w:u w:val="none"/>
                <w:lang w:val="en-US" w:eastAsia="zh-CN" w:bidi="ar"/>
              </w:rPr>
              <w:t>（较好7-10分；一般3-6分；较差0-2分）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D682">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27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D87">
            <w:pPr>
              <w:rPr>
                <w:rFonts w:hint="eastAsia" w:ascii="宋体" w:hAnsi="宋体" w:eastAsia="宋体" w:cs="宋体"/>
                <w:i w:val="0"/>
                <w:iCs w:val="0"/>
                <w:color w:val="000000"/>
                <w:sz w:val="22"/>
                <w:szCs w:val="22"/>
                <w:u w:val="none"/>
              </w:rPr>
            </w:pPr>
          </w:p>
        </w:tc>
      </w:tr>
      <w:tr w14:paraId="7CA0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服务响应时效（</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BADD89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承诺响应时间（5分）：</w:t>
            </w:r>
            <w:r>
              <w:rPr>
                <w:rFonts w:hint="eastAsia" w:ascii="宋体" w:hAnsi="宋体" w:cs="宋体"/>
                <w:i w:val="0"/>
                <w:iCs w:val="0"/>
                <w:color w:val="000000"/>
                <w:kern w:val="0"/>
                <w:sz w:val="22"/>
                <w:szCs w:val="22"/>
                <w:u w:val="none"/>
                <w:lang w:val="en-US" w:eastAsia="zh-CN" w:bidi="ar"/>
              </w:rPr>
              <w:t>转运时效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24/48</w:t>
            </w:r>
            <w:r>
              <w:rPr>
                <w:rFonts w:hint="eastAsia" w:ascii="宋体" w:hAnsi="宋体" w:eastAsia="宋体" w:cs="宋体"/>
                <w:i w:val="0"/>
                <w:iCs w:val="0"/>
                <w:color w:val="000000"/>
                <w:kern w:val="0"/>
                <w:sz w:val="22"/>
                <w:szCs w:val="22"/>
                <w:u w:val="none"/>
                <w:lang w:val="en-US" w:eastAsia="zh-CN" w:bidi="ar"/>
              </w:rPr>
              <w:t>小时</w:t>
            </w:r>
            <w:r>
              <w:rPr>
                <w:rFonts w:hint="eastAsia" w:ascii="宋体" w:hAnsi="宋体" w:cs="宋体"/>
                <w:i w:val="0"/>
                <w:iCs w:val="0"/>
                <w:color w:val="000000"/>
                <w:kern w:val="0"/>
                <w:sz w:val="22"/>
                <w:szCs w:val="22"/>
                <w:u w:val="none"/>
                <w:lang w:val="en-US" w:eastAsia="zh-CN" w:bidi="ar"/>
              </w:rPr>
              <w:t>内转运</w:t>
            </w:r>
            <w:r>
              <w:rPr>
                <w:rFonts w:hint="eastAsia" w:ascii="宋体" w:hAnsi="宋体" w:eastAsia="宋体" w:cs="宋体"/>
                <w:i w:val="0"/>
                <w:iCs w:val="0"/>
                <w:color w:val="000000"/>
                <w:kern w:val="0"/>
                <w:sz w:val="22"/>
                <w:szCs w:val="22"/>
                <w:u w:val="none"/>
                <w:lang w:val="en-US" w:eastAsia="zh-CN" w:bidi="ar"/>
              </w:rPr>
              <w:t>（每延迟1小时扣1分）；</w:t>
            </w:r>
          </w:p>
          <w:p w14:paraId="349716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培训方案（5分）：提供免费培训（含</w:t>
            </w:r>
            <w:r>
              <w:rPr>
                <w:rFonts w:hint="eastAsia" w:ascii="宋体" w:hAnsi="宋体" w:cs="宋体"/>
                <w:i w:val="0"/>
                <w:iCs w:val="0"/>
                <w:color w:val="000000"/>
                <w:kern w:val="0"/>
                <w:sz w:val="22"/>
                <w:szCs w:val="22"/>
                <w:u w:val="none"/>
                <w:lang w:val="en-US" w:eastAsia="zh-CN" w:bidi="ar"/>
              </w:rPr>
              <w:t>转运人员</w:t>
            </w:r>
            <w:r>
              <w:rPr>
                <w:rFonts w:hint="eastAsia" w:ascii="宋体" w:hAnsi="宋体" w:eastAsia="宋体" w:cs="宋体"/>
                <w:i w:val="0"/>
                <w:iCs w:val="0"/>
                <w:color w:val="000000"/>
                <w:kern w:val="0"/>
                <w:sz w:val="22"/>
                <w:szCs w:val="22"/>
                <w:u w:val="none"/>
                <w:lang w:val="en-US" w:eastAsia="zh-CN" w:bidi="ar"/>
              </w:rPr>
              <w:t>培训、系统使用培训）</w:t>
            </w:r>
            <w:r>
              <w:rPr>
                <w:rFonts w:hint="eastAsia" w:ascii="宋体" w:hAnsi="宋体" w:cs="宋体"/>
                <w:i w:val="0"/>
                <w:iCs w:val="0"/>
                <w:color w:val="000000"/>
                <w:kern w:val="0"/>
                <w:sz w:val="22"/>
                <w:szCs w:val="22"/>
                <w:u w:val="none"/>
                <w:lang w:val="en-US" w:eastAsia="zh-CN" w:bidi="ar"/>
              </w:rPr>
              <w:t>，缺一项扣2.5分，无培训不得分</w:t>
            </w:r>
            <w:r>
              <w:rPr>
                <w:rFonts w:hint="eastAsia" w:ascii="宋体" w:hAnsi="宋体" w:eastAsia="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279">
            <w:pPr>
              <w:rPr>
                <w:rFonts w:hint="eastAsia" w:ascii="宋体" w:hAnsi="宋体" w:eastAsia="宋体" w:cs="宋体"/>
                <w:i w:val="0"/>
                <w:iCs w:val="0"/>
                <w:color w:val="000000"/>
                <w:sz w:val="22"/>
                <w:szCs w:val="22"/>
                <w:u w:val="none"/>
                <w:lang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D02">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687">
            <w:pPr>
              <w:rPr>
                <w:rFonts w:hint="eastAsia" w:ascii="宋体" w:hAnsi="宋体" w:eastAsia="宋体" w:cs="宋体"/>
                <w:i w:val="0"/>
                <w:iCs w:val="0"/>
                <w:color w:val="000000"/>
                <w:sz w:val="22"/>
                <w:szCs w:val="22"/>
                <w:u w:val="none"/>
              </w:rPr>
            </w:pPr>
          </w:p>
        </w:tc>
      </w:tr>
      <w:tr w14:paraId="3BCC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廉洁方面（5分）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071389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提供参加采购活动前3年内在经营活动中没有重大违法记录的书面声明；</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240">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9251">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9C2">
            <w:pPr>
              <w:rPr>
                <w:rFonts w:hint="eastAsia" w:ascii="宋体" w:hAnsi="宋体" w:eastAsia="宋体" w:cs="宋体"/>
                <w:i w:val="0"/>
                <w:iCs w:val="0"/>
                <w:color w:val="000000"/>
                <w:sz w:val="22"/>
                <w:szCs w:val="22"/>
                <w:u w:val="none"/>
              </w:rPr>
            </w:pPr>
          </w:p>
        </w:tc>
      </w:tr>
      <w:tr w14:paraId="395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00E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20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6A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032F">
            <w:pPr>
              <w:rPr>
                <w:rFonts w:hint="eastAsia" w:ascii="宋体" w:hAnsi="宋体" w:eastAsia="宋体" w:cs="宋体"/>
                <w:i w:val="0"/>
                <w:iCs w:val="0"/>
                <w:color w:val="000000"/>
                <w:sz w:val="22"/>
                <w:szCs w:val="22"/>
                <w:u w:val="none"/>
              </w:rPr>
            </w:pPr>
          </w:p>
        </w:tc>
      </w:tr>
    </w:tbl>
    <w:p w14:paraId="5F2D01B9">
      <w:pPr>
        <w:tabs>
          <w:tab w:val="left" w:pos="5133"/>
        </w:tabs>
        <w:bidi w:val="0"/>
        <w:jc w:val="left"/>
        <w:rPr>
          <w:rFonts w:hint="default"/>
          <w:lang w:val="en-US" w:eastAsia="zh-CN"/>
        </w:rPr>
      </w:pPr>
    </w:p>
    <w:p w14:paraId="62E29AEB">
      <w:pPr>
        <w:tabs>
          <w:tab w:val="left" w:pos="5133"/>
        </w:tabs>
        <w:bidi w:val="0"/>
        <w:jc w:val="left"/>
        <w:rPr>
          <w:rFonts w:hint="default"/>
          <w:lang w:val="en-US" w:eastAsia="zh-CN"/>
        </w:rPr>
      </w:pPr>
    </w:p>
    <w:p w14:paraId="21916482">
      <w:pPr>
        <w:tabs>
          <w:tab w:val="left" w:pos="5133"/>
        </w:tabs>
        <w:bidi w:val="0"/>
        <w:jc w:val="left"/>
        <w:rPr>
          <w:rFonts w:hint="default"/>
          <w:lang w:val="en-US" w:eastAsia="zh-CN"/>
        </w:rPr>
      </w:pPr>
    </w:p>
    <w:p w14:paraId="378EE242">
      <w:pPr>
        <w:tabs>
          <w:tab w:val="left" w:pos="5133"/>
        </w:tabs>
        <w:bidi w:val="0"/>
        <w:jc w:val="left"/>
        <w:rPr>
          <w:rFonts w:hint="default"/>
          <w:lang w:val="en-US" w:eastAsia="zh-CN"/>
        </w:rPr>
      </w:pPr>
    </w:p>
    <w:p w14:paraId="49840F3D">
      <w:pPr>
        <w:tabs>
          <w:tab w:val="left" w:pos="5133"/>
        </w:tabs>
        <w:bidi w:val="0"/>
        <w:jc w:val="left"/>
        <w:rPr>
          <w:rFonts w:hint="default"/>
          <w:lang w:val="en-US" w:eastAsia="zh-CN"/>
        </w:rPr>
      </w:pPr>
    </w:p>
    <w:p w14:paraId="0E5315BE">
      <w:pPr>
        <w:spacing w:beforeLines="0" w:afterLine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F095CAD">
      <w:pPr>
        <w:spacing w:beforeLines="0" w:afterLines="0"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采购要求</w:t>
      </w:r>
    </w:p>
    <w:p w14:paraId="672AE16E">
      <w:pPr>
        <w:spacing w:beforeLines="0" w:afterLines="0"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一、服务内容：</w:t>
      </w:r>
    </w:p>
    <w:p w14:paraId="15644796">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医疗废物贮存转运项目覆盖：门急诊楼、外科综合大楼、呼吸综合楼、医技楼、体检中心、肺传楼、发热门诊、污水处理站等各科室的医疗废物院内转运贮存及院外转运处置。</w:t>
      </w:r>
    </w:p>
    <w:p w14:paraId="4438C466">
      <w:pPr>
        <w:spacing w:beforeLines="0" w:afterLines="0" w:line="56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、服务内容及服务须知：</w:t>
      </w:r>
    </w:p>
    <w:p w14:paraId="7121DD94">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采购单位：</w:t>
      </w:r>
      <w:r>
        <w:rPr>
          <w:rFonts w:hint="eastAsia" w:ascii="仿宋_GB2312" w:hAnsi="仿宋_GB2312" w:eastAsia="仿宋_GB2312" w:cs="仿宋_GB2312"/>
          <w:color w:val="auto"/>
          <w:sz w:val="32"/>
          <w:szCs w:val="32"/>
          <w:lang w:val="en-US" w:eastAsia="zh-CN"/>
        </w:rPr>
        <w:t>贵州航天医院</w:t>
      </w:r>
    </w:p>
    <w:p w14:paraId="5B5F3576">
      <w:pPr>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val="en-US" w:eastAsia="zh-CN"/>
        </w:rPr>
        <w:t>竞争性磋商</w:t>
      </w:r>
    </w:p>
    <w:p w14:paraId="2A5C09A9">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采购其他要求：拟派项目须具相对应的转运资质。</w:t>
      </w:r>
    </w:p>
    <w:p w14:paraId="22EE91DA">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服务期：本项目自合同生效之日起三年。</w:t>
      </w:r>
    </w:p>
    <w:p w14:paraId="4ADC5C31">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质量要求：</w:t>
      </w:r>
    </w:p>
    <w:p w14:paraId="042BDCA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1.服务保障：</w:t>
      </w:r>
      <w:r>
        <w:rPr>
          <w:rFonts w:hint="eastAsia" w:ascii="仿宋_GB2312" w:hAnsi="仿宋_GB2312" w:eastAsia="仿宋_GB2312" w:cs="仿宋_GB2312"/>
          <w:color w:val="auto"/>
          <w:sz w:val="32"/>
          <w:szCs w:val="32"/>
        </w:rPr>
        <w:t>成立专项服务小组：设立负责人1名，统筹协调医院医疗废物收运处置及院内转运全流程工作；配备专职对接员1名，负责与医院后勤科日常沟通，及时响应需求、处理问题；建立定期沟通机制：每月与医院后勤科及时沟通，核实上月收运处置数据、存在问题等，按医院要求及改进。设立24小时服务热线，遇紧急事项1小时内响应并以最快时间处置。</w:t>
      </w:r>
    </w:p>
    <w:p w14:paraId="0BE8CD7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院内转运服务</w:t>
      </w:r>
    </w:p>
    <w:p w14:paraId="312D52E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院内医疗废物转运：早上8点到下午16：30，对医院外科大楼、呼吸综合楼、门诊、医技楼等其院内全区域，安排3名人员分区域完成医疗废物转运工作（包括污水处理站），每日留1人值班至17：30负责处理医院临时紧急需要的医疗废物院内转运及各类检查备检工作。</w:t>
      </w:r>
    </w:p>
    <w:p w14:paraId="21D86846">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院内一般固废转运：早上7：30到下午17：30，对医院全区域安排1名人员对一般固废（未污染塑料、玻璃瓶、纸板等）进行转运工作，转运至专用库房集中后可回收处理。</w:t>
      </w:r>
    </w:p>
    <w:p w14:paraId="18A5CFFD">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院内转运4名人员每日对转运数据进行详细记录，建立完善的档案保存，同时委派1名专职管理人员对记录各项数据核实统计，每月按时报送医院后勤科检查存档。</w:t>
      </w:r>
    </w:p>
    <w:p w14:paraId="595D3ADE">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3.院外转运处置：专用危废运输车辆，分类转运至有资质的处置地点进行专项处置。</w:t>
      </w:r>
    </w:p>
    <w:p w14:paraId="5CEEA3B0">
      <w:pPr>
        <w:spacing w:beforeLines="0" w:afterLines="0"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三、承包意向人合格条件：</w:t>
      </w:r>
    </w:p>
    <w:p w14:paraId="310D46A5">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1.具有中华人民共和国独立法人资格，具有独立履约能力；</w:t>
      </w:r>
    </w:p>
    <w:p w14:paraId="2F11978A">
      <w:pPr>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2.具有与项目相适应的物业相关经验；</w:t>
      </w:r>
    </w:p>
    <w:p w14:paraId="72DA710F">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3.具有良好的社会信誉。</w:t>
      </w:r>
    </w:p>
    <w:p w14:paraId="338E7C58">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p>
    <w:p w14:paraId="41618A4A">
      <w:pPr>
        <w:spacing w:beforeLines="0" w:afterLines="0" w:line="560" w:lineRule="exact"/>
        <w:ind w:firstLine="640" w:firstLineChars="200"/>
        <w:rPr>
          <w:rFonts w:hint="default" w:ascii="仿宋_GB2312" w:hAnsi="仿宋_GB2312" w:eastAsia="仿宋_GB2312" w:cs="仿宋_GB2312"/>
          <w:color w:val="auto"/>
          <w:sz w:val="32"/>
          <w:szCs w:val="32"/>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6F209"/>
    <w:multiLevelType w:val="singleLevel"/>
    <w:tmpl w:val="4B36F209"/>
    <w:lvl w:ilvl="0" w:tentative="0">
      <w:start w:val="7"/>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46D15"/>
    <w:rsid w:val="020E3E06"/>
    <w:rsid w:val="02355837"/>
    <w:rsid w:val="02B80216"/>
    <w:rsid w:val="04567CE7"/>
    <w:rsid w:val="053E2C54"/>
    <w:rsid w:val="058B49DF"/>
    <w:rsid w:val="06502E2E"/>
    <w:rsid w:val="07302A71"/>
    <w:rsid w:val="075E555B"/>
    <w:rsid w:val="07726BE5"/>
    <w:rsid w:val="09D21BBD"/>
    <w:rsid w:val="0A474359"/>
    <w:rsid w:val="0BE1433A"/>
    <w:rsid w:val="0D571796"/>
    <w:rsid w:val="0E7476E7"/>
    <w:rsid w:val="1246139A"/>
    <w:rsid w:val="13D824C6"/>
    <w:rsid w:val="14B46A8F"/>
    <w:rsid w:val="15EC4007"/>
    <w:rsid w:val="1609105D"/>
    <w:rsid w:val="16E01B81"/>
    <w:rsid w:val="17716EB9"/>
    <w:rsid w:val="179922EA"/>
    <w:rsid w:val="1DF1305D"/>
    <w:rsid w:val="20A933D4"/>
    <w:rsid w:val="22E91FFA"/>
    <w:rsid w:val="23664E49"/>
    <w:rsid w:val="24B623B0"/>
    <w:rsid w:val="24C525F3"/>
    <w:rsid w:val="27A71D1F"/>
    <w:rsid w:val="296028EA"/>
    <w:rsid w:val="2A5306A1"/>
    <w:rsid w:val="2A77438F"/>
    <w:rsid w:val="2D3C366E"/>
    <w:rsid w:val="2DF80823"/>
    <w:rsid w:val="2E094915"/>
    <w:rsid w:val="2E5A51AB"/>
    <w:rsid w:val="2F646F87"/>
    <w:rsid w:val="2F854E58"/>
    <w:rsid w:val="3042737F"/>
    <w:rsid w:val="33DF3513"/>
    <w:rsid w:val="344057F2"/>
    <w:rsid w:val="35270760"/>
    <w:rsid w:val="36883480"/>
    <w:rsid w:val="37B74738"/>
    <w:rsid w:val="388258F2"/>
    <w:rsid w:val="392751D2"/>
    <w:rsid w:val="3971644D"/>
    <w:rsid w:val="39BD4E3B"/>
    <w:rsid w:val="3A543DA5"/>
    <w:rsid w:val="3B2F036E"/>
    <w:rsid w:val="41C77552"/>
    <w:rsid w:val="42175028"/>
    <w:rsid w:val="431E7646"/>
    <w:rsid w:val="43AF029E"/>
    <w:rsid w:val="43FA3C0F"/>
    <w:rsid w:val="440E1469"/>
    <w:rsid w:val="444529B0"/>
    <w:rsid w:val="44692B43"/>
    <w:rsid w:val="45AC0F39"/>
    <w:rsid w:val="47040901"/>
    <w:rsid w:val="4B334999"/>
    <w:rsid w:val="4EE259CC"/>
    <w:rsid w:val="52AD009F"/>
    <w:rsid w:val="56E822F9"/>
    <w:rsid w:val="59D423B5"/>
    <w:rsid w:val="5B5F2152"/>
    <w:rsid w:val="5C3B671B"/>
    <w:rsid w:val="618B1EF3"/>
    <w:rsid w:val="61D70C94"/>
    <w:rsid w:val="627B3D15"/>
    <w:rsid w:val="651B358E"/>
    <w:rsid w:val="67957627"/>
    <w:rsid w:val="67EC1211"/>
    <w:rsid w:val="68703BF0"/>
    <w:rsid w:val="6AA33E09"/>
    <w:rsid w:val="6ABC4ECB"/>
    <w:rsid w:val="6D4F0278"/>
    <w:rsid w:val="6D5D539B"/>
    <w:rsid w:val="6E641258"/>
    <w:rsid w:val="6FE70C3C"/>
    <w:rsid w:val="72F33ECE"/>
    <w:rsid w:val="72F773E8"/>
    <w:rsid w:val="73F92CEC"/>
    <w:rsid w:val="7422425C"/>
    <w:rsid w:val="769A4640"/>
    <w:rsid w:val="77306B9A"/>
    <w:rsid w:val="77660698"/>
    <w:rsid w:val="78F10436"/>
    <w:rsid w:val="79652DD0"/>
    <w:rsid w:val="79C142AC"/>
    <w:rsid w:val="7B4C4049"/>
    <w:rsid w:val="7EC35C51"/>
    <w:rsid w:val="7EF9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ahoma" w:hAnsi="Tahoma"/>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unhideWhenUsed/>
    <w:qFormat/>
    <w:uiPriority w:val="0"/>
    <w:pPr>
      <w:tabs>
        <w:tab w:val="center" w:pos="4153"/>
        <w:tab w:val="right" w:pos="8306"/>
      </w:tabs>
      <w:snapToGrid w:val="0"/>
      <w:spacing w:beforeLines="0" w:afterLines="0"/>
      <w:jc w:val="left"/>
    </w:pPr>
    <w:rPr>
      <w:rFonts w:hint="eastAsia"/>
      <w:color w:val="auto"/>
      <w:sz w:val="18"/>
      <w:szCs w:val="32"/>
    </w:rPr>
  </w:style>
  <w:style w:type="paragraph" w:styleId="9">
    <w:name w:val="Title"/>
    <w:basedOn w:val="1"/>
    <w:qFormat/>
    <w:uiPriority w:val="0"/>
    <w:pPr>
      <w:spacing w:before="240" w:after="60"/>
      <w:jc w:val="center"/>
      <w:outlineLvl w:val="0"/>
    </w:pPr>
    <w:rPr>
      <w:rFonts w:ascii="Arial" w:hAnsi="Arial" w:cs="Times New Roman"/>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4">
    <w:name w:val="标题 3 Char"/>
    <w:link w:val="2"/>
    <w:qFormat/>
    <w:uiPriority w:val="0"/>
    <w:rPr>
      <w:b/>
      <w:sz w:val="32"/>
    </w:rPr>
  </w:style>
  <w:style w:type="paragraph" w:styleId="15">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6">
    <w:name w:val="font41"/>
    <w:basedOn w:val="12"/>
    <w:qFormat/>
    <w:uiPriority w:val="0"/>
    <w:rPr>
      <w:rFonts w:hint="eastAsia" w:ascii="仿宋" w:hAnsi="仿宋" w:eastAsia="仿宋" w:cs="仿宋"/>
      <w:color w:val="000000"/>
      <w:sz w:val="22"/>
      <w:szCs w:val="22"/>
      <w:u w:val="none"/>
    </w:rPr>
  </w:style>
  <w:style w:type="character" w:customStyle="1" w:styleId="17">
    <w:name w:val="font61"/>
    <w:basedOn w:val="12"/>
    <w:qFormat/>
    <w:uiPriority w:val="0"/>
    <w:rPr>
      <w:rFonts w:hint="default" w:ascii="Times New Roman" w:hAnsi="Times New Roman" w:cs="Times New Roman"/>
      <w:color w:val="000000"/>
      <w:sz w:val="22"/>
      <w:szCs w:val="22"/>
      <w:u w:val="none"/>
    </w:rPr>
  </w:style>
  <w:style w:type="character" w:customStyle="1" w:styleId="18">
    <w:name w:val="font51"/>
    <w:basedOn w:val="12"/>
    <w:qFormat/>
    <w:uiPriority w:val="0"/>
    <w:rPr>
      <w:rFonts w:hint="eastAsia" w:ascii="仿宋" w:hAnsi="仿宋" w:eastAsia="仿宋" w:cs="仿宋"/>
      <w:color w:val="000000"/>
      <w:sz w:val="16"/>
      <w:szCs w:val="16"/>
      <w:u w:val="none"/>
    </w:rPr>
  </w:style>
  <w:style w:type="character" w:customStyle="1" w:styleId="19">
    <w:name w:val="font31"/>
    <w:basedOn w:val="12"/>
    <w:qFormat/>
    <w:uiPriority w:val="0"/>
    <w:rPr>
      <w:rFonts w:hint="eastAsia" w:ascii="宋体" w:hAnsi="宋体" w:eastAsia="宋体" w:cs="宋体"/>
      <w:color w:val="000000"/>
      <w:sz w:val="16"/>
      <w:szCs w:val="16"/>
      <w:u w:val="none"/>
    </w:rPr>
  </w:style>
  <w:style w:type="character" w:customStyle="1" w:styleId="20">
    <w:name w:val="font81"/>
    <w:basedOn w:val="12"/>
    <w:qFormat/>
    <w:uiPriority w:val="0"/>
    <w:rPr>
      <w:rFonts w:hint="default" w:ascii="Arial" w:hAnsi="Arial" w:cs="Arial"/>
      <w:color w:val="000000"/>
      <w:sz w:val="16"/>
      <w:szCs w:val="16"/>
      <w:u w:val="none"/>
    </w:rPr>
  </w:style>
  <w:style w:type="character" w:customStyle="1" w:styleId="21">
    <w:name w:val="font91"/>
    <w:basedOn w:val="12"/>
    <w:qFormat/>
    <w:uiPriority w:val="0"/>
    <w:rPr>
      <w:rFonts w:hint="eastAsia" w:ascii="仿宋" w:hAnsi="仿宋" w:eastAsia="仿宋" w:cs="仿宋"/>
      <w:b/>
      <w:bCs/>
      <w:color w:val="000000"/>
      <w:sz w:val="16"/>
      <w:szCs w:val="16"/>
      <w:u w:val="none"/>
      <w:vertAlign w:val="superscript"/>
    </w:rPr>
  </w:style>
  <w:style w:type="paragraph" w:customStyle="1" w:styleId="22">
    <w:name w:val="Body Text First Indent1"/>
    <w:qFormat/>
    <w:uiPriority w:val="0"/>
    <w:pPr>
      <w:widowControl w:val="0"/>
      <w:tabs>
        <w:tab w:val="left" w:pos="0"/>
      </w:tabs>
      <w:spacing w:after="120"/>
      <w:ind w:firstLine="100" w:firstLineChars="100"/>
      <w:jc w:val="both"/>
      <w:outlineLvl w:val="0"/>
    </w:pPr>
    <w:rPr>
      <w:rFonts w:ascii="Calibri" w:hAnsi="Calibri" w:eastAsia="宋体" w:cs="宋体"/>
      <w:color w:val="000000"/>
      <w:kern w:val="28"/>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3090</Words>
  <Characters>3146</Characters>
  <Lines>0</Lines>
  <Paragraphs>0</Paragraphs>
  <TotalTime>6</TotalTime>
  <ScaleCrop>false</ScaleCrop>
  <LinksUpToDate>false</LinksUpToDate>
  <CharactersWithSpaces>3186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WPS_1569745718</cp:lastModifiedBy>
  <cp:lastPrinted>2026-02-25T01:59:00Z</cp:lastPrinted>
  <dcterms:modified xsi:type="dcterms:W3CDTF">2026-05-18T07:41:18Z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530DB44C05144CF7AF6571B1532D0689_13</vt:lpwstr>
  </property>
  <property fmtid="{D5CDD505-2E9C-101B-9397-08002B2CF9AE}" pid="4" name="KSOTemplateDocerSaveRecord">
    <vt:lpwstr>eyJoZGlkIjoiZTYyMDczZGRhZjNiZjg5MTJhMWY4ZmJkZjE0ODlhZjQiLCJ1c2VySWQiOiI2Nzc3MDY5ODMifQ==</vt:lpwstr>
  </property>
</Properties>
</file>