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麻醉科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医疗设备一批（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该项目为</w:t>
            </w:r>
            <w:r>
              <w:rPr>
                <w:rFonts w:hint="eastAsia" w:eastAsia="FangSong_GB2312" w:asciiTheme="minorHAnsi" w:hAnsiTheme="minorHAnsi" w:cstheme="minorHAnsi"/>
                <w:b/>
                <w:bCs/>
                <w:lang w:val="en-US" w:eastAsia="zh-CN" w:bidi="ar"/>
              </w:rPr>
              <w:t>分项投标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需提供技术参数偏离表（按模板附件4填写），按要求提供技术参数佐证材料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（设备参数要求见附件3、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技术参数偏离表模板见附件4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），二次报价以开标当日电话议价的方式进行。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提交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地点：贵州航天医院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）</w:t>
            </w:r>
          </w:p>
        </w:tc>
      </w:tr>
      <w:tr w14:paraId="7FC2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1C3BD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咨询联系：采购办吴老师18785230603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响应文件投递方式：现场投递或邮寄投递</w:t>
            </w:r>
          </w:p>
        </w:tc>
      </w:tr>
      <w:tr w14:paraId="2D143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87A4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投标人要求：需由法人或法人委托的代理人持“授权委托书”进行投递，邮寄需邮寄人为法人或代理人，代理人需附“授权委托书”。</w:t>
            </w:r>
          </w:p>
        </w:tc>
      </w:tr>
      <w:tr w14:paraId="6D91E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81B66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投标文件需为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auto"/>
                <w:kern w:val="0"/>
                <w:sz w:val="24"/>
                <w:lang w:val="en-US" w:eastAsia="zh-CN" w:bidi="ar"/>
              </w:rPr>
              <w:t>胶装成册，一正两副，内含目录及页码，密封提交；封面需标注所投项目及序号。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0851-27677989</w:t>
            </w:r>
          </w:p>
        </w:tc>
      </w:tr>
    </w:tbl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3756E708">
      <w:pPr>
        <w:jc w:val="left"/>
        <w:rPr>
          <w:rFonts w:hint="default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附件1：麻醉科采购设备名称及数量</w:t>
      </w:r>
    </w:p>
    <w:tbl>
      <w:tblPr>
        <w:tblStyle w:val="14"/>
        <w:tblW w:w="64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63"/>
        <w:gridCol w:w="2261"/>
        <w:gridCol w:w="1061"/>
        <w:gridCol w:w="1363"/>
        <w:gridCol w:w="1712"/>
        <w:gridCol w:w="1749"/>
      </w:tblGrid>
      <w:tr w14:paraId="51C9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22" w:type="pct"/>
            <w:shd w:val="clear" w:color="auto" w:fill="auto"/>
            <w:vAlign w:val="center"/>
          </w:tcPr>
          <w:p w14:paraId="41EB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337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D0F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09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481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</w:p>
          <w:p w14:paraId="674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F6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1D66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609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2DBE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22" w:type="pct"/>
            <w:vMerge w:val="restart"/>
            <w:shd w:val="clear" w:color="auto" w:fill="auto"/>
            <w:vAlign w:val="center"/>
          </w:tcPr>
          <w:p w14:paraId="1FDF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麻醉科</w:t>
            </w:r>
          </w:p>
          <w:p w14:paraId="1381B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（分项投标）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759245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740FFFA3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多参数监护仪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16B04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DE203C6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88CE19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45000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4EBF71F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180000</w:t>
            </w:r>
          </w:p>
        </w:tc>
      </w:tr>
      <w:tr w14:paraId="4D894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22" w:type="pct"/>
            <w:vMerge w:val="continue"/>
            <w:tcBorders/>
            <w:shd w:val="clear" w:color="auto" w:fill="auto"/>
            <w:vAlign w:val="center"/>
          </w:tcPr>
          <w:p w14:paraId="164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1778000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3C3940B8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多功能麻醉机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24130FE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B568577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93972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220000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3FF3264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440000</w:t>
            </w:r>
          </w:p>
        </w:tc>
      </w:tr>
      <w:tr w14:paraId="3348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22" w:type="pct"/>
            <w:vMerge w:val="continue"/>
            <w:tcBorders/>
            <w:shd w:val="clear" w:color="auto" w:fill="auto"/>
            <w:vAlign w:val="center"/>
          </w:tcPr>
          <w:p w14:paraId="5D83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4BAA4D4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4CACC90E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高频电刀（单极）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78A2A5F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AD19EFC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BB21F7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77932C34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100000</w:t>
            </w:r>
          </w:p>
        </w:tc>
      </w:tr>
      <w:tr w14:paraId="5900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22" w:type="pct"/>
            <w:vMerge w:val="continue"/>
            <w:tcBorders/>
            <w:shd w:val="clear" w:color="auto" w:fill="auto"/>
            <w:vAlign w:val="center"/>
          </w:tcPr>
          <w:p w14:paraId="12C9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70DBFD9D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25" w:type="pct"/>
            <w:shd w:val="clear" w:color="auto" w:fill="auto"/>
            <w:vAlign w:val="center"/>
          </w:tcPr>
          <w:p w14:paraId="538AA0C2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可视喉镜</w:t>
            </w:r>
          </w:p>
        </w:tc>
        <w:tc>
          <w:tcPr>
            <w:tcW w:w="481" w:type="pct"/>
            <w:shd w:val="clear" w:color="auto" w:fill="auto"/>
            <w:vAlign w:val="center"/>
          </w:tcPr>
          <w:p w14:paraId="64F24210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台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A5F3AB4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5331FCA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20000</w:t>
            </w:r>
          </w:p>
        </w:tc>
        <w:tc>
          <w:tcPr>
            <w:tcW w:w="793" w:type="pct"/>
            <w:shd w:val="clear" w:color="auto" w:fill="auto"/>
            <w:vAlign w:val="center"/>
          </w:tcPr>
          <w:p w14:paraId="24C849DF">
            <w:pPr>
              <w:pStyle w:val="3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/>
              <w:ind w:left="11" w:leftChars="0" w:right="2" w:rightChars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60000</w:t>
            </w:r>
          </w:p>
        </w:tc>
      </w:tr>
    </w:tbl>
    <w:p w14:paraId="08B1A9A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28"/>
          <w:szCs w:val="28"/>
          <w:lang w:val="en-US" w:eastAsia="zh-CN"/>
        </w:rPr>
      </w:pP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19"/>
        <w:gridCol w:w="1609"/>
        <w:gridCol w:w="1605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825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09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5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184BB18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p w14:paraId="1DB5EDA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227AACCA">
      <w:pPr>
        <w:pStyle w:val="9"/>
        <w:spacing w:before="0" w:beforeAutospacing="0" w:after="0" w:afterAutospacing="0" w:line="440" w:lineRule="exact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1ECC361D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多参数监护仪</w:t>
      </w:r>
    </w:p>
    <w:p w14:paraId="41B9F572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9540"/>
      </w:tblGrid>
      <w:tr w14:paraId="4689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317" w:type="dxa"/>
            <w:vAlign w:val="center"/>
          </w:tcPr>
          <w:p w14:paraId="6931E5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9540" w:type="dxa"/>
            <w:vAlign w:val="center"/>
          </w:tcPr>
          <w:p w14:paraId="69CD22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b/>
                <w:bCs/>
                <w:color w:val="00000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多参数监护仪</w:t>
            </w:r>
          </w:p>
        </w:tc>
      </w:tr>
      <w:tr w14:paraId="241E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3" w:hRule="atLeast"/>
        </w:trPr>
        <w:tc>
          <w:tcPr>
            <w:tcW w:w="1317" w:type="dxa"/>
            <w:vAlign w:val="center"/>
          </w:tcPr>
          <w:p w14:paraId="69C171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技术参数清单</w:t>
            </w:r>
          </w:p>
        </w:tc>
        <w:tc>
          <w:tcPr>
            <w:tcW w:w="9540" w:type="dxa"/>
          </w:tcPr>
          <w:p w14:paraId="4424D789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19155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用于持续监测患者的生命体征参数，适用于手术室、ICU、急诊科、麻醉恢复室及普通病房等临床环境，实时显示心电、心率、血压、血氧饱和度、呼吸、体温等数据，辅助临床判断与危急值预警。</w:t>
            </w:r>
          </w:p>
          <w:p w14:paraId="69B551C3"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068F7BC3">
            <w:pPr>
              <w:numPr>
                <w:ilvl w:val="0"/>
                <w:numId w:val="0"/>
              </w:numP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2.1基本要求：</w:t>
            </w:r>
          </w:p>
          <w:p w14:paraId="69E10185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适用级别：明确适用于三级甲等医院手术室、ICU，满足高难度/高风险（四级）手术麻醉监护需求。</w:t>
            </w:r>
          </w:p>
          <w:p w14:paraId="744FCB36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认证标准：符合NMPA III类医疗器械注册认证，并满足相关的国际安全标准（如IEC 60601-1, IEC 60601-2-27, IEC 60601-2-49等）。</w:t>
            </w:r>
          </w:p>
          <w:p w14:paraId="54BE02A3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显示：</w:t>
            </w:r>
          </w:p>
          <w:p w14:paraId="164D3ED6">
            <w:pPr>
              <w:widowControl w:val="0"/>
              <w:numPr>
                <w:ilvl w:val="0"/>
                <w:numId w:val="3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屏幕：≥1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英寸高分辨率彩色LED/LCD触摸屏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（显示屏能外置，方便调节最好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），亮度可调，抗眩光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2911AD2">
            <w:pPr>
              <w:widowControl w:val="0"/>
              <w:numPr>
                <w:ilvl w:val="0"/>
                <w:numId w:val="3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界面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图形化用户界面，支持中文操作，波形和参数可自定义布局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23C2866">
            <w:pPr>
              <w:widowControl w:val="0"/>
              <w:numPr>
                <w:ilvl w:val="0"/>
                <w:numId w:val="3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波形显示：同时显示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6道波形。</w:t>
            </w:r>
          </w:p>
          <w:p w14:paraId="76C2E32D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数据存储与回顾：</w:t>
            </w:r>
          </w:p>
          <w:p w14:paraId="467FDCB0">
            <w:pPr>
              <w:widowControl w:val="0"/>
              <w:numPr>
                <w:ilvl w:val="0"/>
                <w:numId w:val="4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趋势存储：存储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72小时（理想≥7天）的详细趋势数据（包括所有波形和参数）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DC8397B">
            <w:pPr>
              <w:widowControl w:val="0"/>
              <w:numPr>
                <w:ilvl w:val="0"/>
                <w:numId w:val="4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报警事件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详细存储报警事件（类型、时间、参数值、持续时间）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341AE81">
            <w:pPr>
              <w:widowControl w:val="0"/>
              <w:numPr>
                <w:ilvl w:val="0"/>
                <w:numId w:val="4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导出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支持通过USB、以太网或Wi-Fi导出趋势报告、报警事件、配置信息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支持PDF、XML或特定格式导出。</w:t>
            </w:r>
          </w:p>
          <w:p w14:paraId="1618A7D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2.2核心监测参数：（必须满足高精度、高采样率、抗干扰性强）</w:t>
            </w:r>
          </w:p>
          <w:p w14:paraId="71DF9E9E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心电监测：</w:t>
            </w:r>
          </w:p>
          <w:p w14:paraId="0577E095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导联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标准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导联同步采集与分析能力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B17F33A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心率：测量范围 20 - 300 bpm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32E777EA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心律失常分析：具备全面的心律失常分析报警功能（至少包括：室颤、室速、停搏、室早（单发、连发）、房颤/房扑、二联律/三联律、心动过速/过缓、ST段分析等）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ST段监测必须精准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A52FD8B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滤波：提供多种滤波模式，确保手术电刀干扰下仍能获取可分析的心电波形。</w:t>
            </w:r>
          </w:p>
          <w:p w14:paraId="3DC3FF1A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无创血压：</w:t>
            </w:r>
          </w:p>
          <w:p w14:paraId="26841C74">
            <w:pPr>
              <w:widowControl w:val="0"/>
              <w:numPr>
                <w:ilvl w:val="0"/>
                <w:numId w:val="5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测量方式：振荡法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71556DD">
            <w:pPr>
              <w:widowControl w:val="0"/>
              <w:numPr>
                <w:ilvl w:val="0"/>
                <w:numId w:val="5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测量模式：手动、自动（间隔可设）、快速序列测量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1175A4A">
            <w:pPr>
              <w:widowControl w:val="0"/>
              <w:numPr>
                <w:ilvl w:val="0"/>
                <w:numId w:val="5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测量范围：</w:t>
            </w:r>
          </w:p>
          <w:p w14:paraId="46EB02AA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收缩压： 40 - 270 mmHg</w:t>
            </w:r>
          </w:p>
          <w:p w14:paraId="6D52EA14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舒张压： 20 - 220 mmHg</w:t>
            </w:r>
          </w:p>
          <w:p w14:paraId="2DAEDF4E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平均压： 30 - 240 mmHg</w:t>
            </w:r>
          </w:p>
          <w:p w14:paraId="68485C30">
            <w:pPr>
              <w:widowControl w:val="0"/>
              <w:numPr>
                <w:ilvl w:val="0"/>
                <w:numId w:val="5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适用人群： 成人、小儿、新生儿模式（自动识别或手动选择）。</w:t>
            </w:r>
          </w:p>
          <w:p w14:paraId="10112FA1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脉搏血氧饱和度：</w:t>
            </w:r>
          </w:p>
          <w:p w14:paraId="0196941C">
            <w:pPr>
              <w:widowControl w:val="0"/>
              <w:numPr>
                <w:ilvl w:val="0"/>
                <w:numId w:val="6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参数：SpO₂, 脉率(PR), 灌注指数(PI)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9BDF33A">
            <w:pPr>
              <w:widowControl w:val="0"/>
              <w:numPr>
                <w:ilvl w:val="0"/>
                <w:numId w:val="6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SpO₂范围：0% - 100% (显示分辨率1%)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DDC392A">
            <w:pPr>
              <w:widowControl w:val="0"/>
              <w:numPr>
                <w:ilvl w:val="0"/>
                <w:numId w:val="6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测量范围：适用于低灌注（PI显示有助于判断信号可靠性）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745B9AD">
            <w:pPr>
              <w:widowControl w:val="0"/>
              <w:numPr>
                <w:ilvl w:val="0"/>
                <w:numId w:val="6"/>
              </w:numPr>
              <w:ind w:left="869" w:leftChars="0" w:hanging="30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抗运动灌注：具备先进抗运动伪差和低灌注信号提取算法（如Masimo SET/rainbow技术或其等效国产先进技术）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5D5636B1">
            <w:pPr>
              <w:widowControl w:val="0"/>
              <w:numPr>
                <w:ilvl w:val="0"/>
                <w:numId w:val="6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探头兼容：支持可重复消毒探头或一次性探头（成人、小儿、新生儿）。</w:t>
            </w:r>
          </w:p>
          <w:p w14:paraId="34F55BC6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呼吸：</w:t>
            </w:r>
          </w:p>
          <w:p w14:paraId="26B9BF38">
            <w:pPr>
              <w:widowControl w:val="0"/>
              <w:numPr>
                <w:ilvl w:val="0"/>
                <w:numId w:val="7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参数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呼吸率(RR)。</w:t>
            </w:r>
          </w:p>
          <w:p w14:paraId="246EE5F9">
            <w:pPr>
              <w:widowControl w:val="0"/>
              <w:numPr>
                <w:ilvl w:val="0"/>
                <w:numId w:val="7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测量方式：通过阻抗法（心电导联）和/或主流/旁流呼吸气体监测模块（见下文）获取。</w:t>
            </w:r>
          </w:p>
          <w:p w14:paraId="3955F27B">
            <w:pPr>
              <w:widowControl w:val="0"/>
              <w:numPr>
                <w:ilvl w:val="0"/>
                <w:numId w:val="7"/>
              </w:numPr>
              <w:ind w:left="454" w:leftChars="0" w:firstLine="113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窒息报警：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可靠，屏幕文字显示信息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5F2D0356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体温监测：</w:t>
            </w:r>
          </w:p>
          <w:p w14:paraId="309ED3AC">
            <w:pPr>
              <w:widowControl w:val="0"/>
              <w:numPr>
                <w:ilvl w:val="0"/>
                <w:numId w:val="8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通道数：≥2个独立体温通道（满足同时监测核心温度+体表温度需求，如食道/鼻咽+皮肤/膀胱/直肠）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84DC20A">
            <w:pPr>
              <w:widowControl w:val="0"/>
              <w:numPr>
                <w:ilvl w:val="0"/>
                <w:numId w:val="8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探头类型：兼容通用标准体温探头（如YSI 400系列或其兼容探头）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B005FF0">
            <w:pPr>
              <w:widowControl w:val="0"/>
              <w:numPr>
                <w:ilvl w:val="0"/>
                <w:numId w:val="8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测量部位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可设置不同部位（如食道、直肠、膀胱、鼻咽、腋下、皮肤等）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CC2861C">
            <w:pPr>
              <w:widowControl w:val="0"/>
              <w:numPr>
                <w:ilvl w:val="0"/>
                <w:numId w:val="8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至少 20°C - 45°C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ACAFA55">
            <w:pPr>
              <w:widowControl w:val="0"/>
              <w:numPr>
                <w:ilvl w:val="0"/>
                <w:numId w:val="8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分辨率：0.1°C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5A6B122">
            <w:pPr>
              <w:widowControl w:val="0"/>
              <w:numPr>
                <w:ilvl w:val="0"/>
                <w:numId w:val="8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温差计算：部分机型支持显示两个通道间的温差（如核心-皮肤温差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）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65B42775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2.3核心高级监测参数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 w14:paraId="39F003BB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有创血压监测：</w:t>
            </w:r>
          </w:p>
          <w:p w14:paraId="396B2D2C">
            <w:pPr>
              <w:widowControl w:val="0"/>
              <w:numPr>
                <w:ilvl w:val="0"/>
                <w:numId w:val="9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通道数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≥2个独立的有创血压通道 (满足同时监测动脉压+中心静脉压)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5E2598E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参数：收缩压(IBP Sys), 舒张压(IBP Dia), 平均压(IBP Mean)， 实时波形显示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7511B9A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测量范围：每个通道可独立设置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5CDB8B8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精度：高精度传感器（或支持连接外部传感器），具备自动调零和校零提示功能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D565F16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标尺/缩放：波形幅度和标尺可调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FEA7104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抗干扰：管路和传感器具备良好的抗干扰性能（尤其抗电刀）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724B2FEC">
            <w:pPr>
              <w:widowControl w:val="0"/>
              <w:numPr>
                <w:ilvl w:val="0"/>
                <w:numId w:val="9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阻尼/冲洗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可进行阻尼调整和管路冲洗（手动或快速冲洗）。</w:t>
            </w:r>
          </w:p>
          <w:p w14:paraId="0316A2E3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呼气末二氧化碳：</w:t>
            </w:r>
          </w:p>
          <w:p w14:paraId="4319A5AE">
            <w:pPr>
              <w:widowControl w:val="0"/>
              <w:numPr>
                <w:ilvl w:val="0"/>
                <w:numId w:val="10"/>
              </w:numPr>
              <w:ind w:left="852" w:leftChars="0" w:hanging="285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参数：呼气末二氧化碳分压/浓度(PetCO₂/EtCO₂%)，二氧化碳波形(Capnography)， 呼吸频率(RR)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64260C2">
            <w:pPr>
              <w:widowControl w:val="0"/>
              <w:numPr>
                <w:ilvl w:val="0"/>
                <w:numId w:val="10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测量方式：主流式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DB0CA30">
            <w:pPr>
              <w:widowControl w:val="0"/>
              <w:numPr>
                <w:ilvl w:val="0"/>
                <w:numId w:val="10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测量范围：PetCO₂: 0 - 150 mmHg (或0 - 20 kPa)； EtCO₂%: 0 - 15%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F0A860E">
            <w:pPr>
              <w:widowControl w:val="0"/>
              <w:numPr>
                <w:ilvl w:val="0"/>
                <w:numId w:val="10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波形显示：清晰显示实时二氧化碳波形图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</w:t>
            </w:r>
          </w:p>
          <w:p w14:paraId="389C8300">
            <w:pPr>
              <w:widowControl w:val="0"/>
              <w:numPr>
                <w:ilvl w:val="0"/>
                <w:numId w:val="10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趋势：提供数值和波形趋势回顾。</w:t>
            </w:r>
          </w:p>
          <w:p w14:paraId="359A2DDC">
            <w:pPr>
              <w:widowControl w:val="0"/>
              <w:numPr>
                <w:ilvl w:val="0"/>
                <w:numId w:val="0"/>
              </w:numPr>
              <w:ind w:firstLine="240" w:firstLine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2.3.3报警系统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 w14:paraId="1FA76571">
            <w:pPr>
              <w:widowControl w:val="0"/>
              <w:numPr>
                <w:ilvl w:val="0"/>
                <w:numId w:val="11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报警参数：覆盖所有监测参数（ECG各报警、NIBP/IBP高低限、SpO₂高低限、RR高低限及窒息、Temp高低限、EtCO₂高低限及无信号、麻醉气体高低限、各通道信号丢失/导联脱落/探头脱落等）。</w:t>
            </w:r>
          </w:p>
          <w:p w14:paraId="2F6D6FF2">
            <w:pPr>
              <w:widowControl w:val="0"/>
              <w:numPr>
                <w:ilvl w:val="0"/>
                <w:numId w:val="11"/>
              </w:numPr>
              <w:ind w:left="425" w:leftChars="0" w:firstLine="142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报警级别：高中低三级报警，声光报警明确区分（音量可调，光闪颜色不同）。</w:t>
            </w:r>
          </w:p>
          <w:p w14:paraId="568E0C5D">
            <w:pPr>
              <w:widowControl w:val="0"/>
              <w:numPr>
                <w:ilvl w:val="0"/>
                <w:numId w:val="11"/>
              </w:numPr>
              <w:ind w:left="864" w:leftChars="0" w:hanging="297" w:firstLineChars="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报警延迟：关键报警（如室颤、窒息、SpO₂极低）应瞬时报警；部分参数可设置合理延迟（如几秒）。</w:t>
            </w:r>
          </w:p>
          <w:p w14:paraId="68FAB7CC">
            <w:pPr>
              <w:widowControl w:val="0"/>
              <w:numPr>
                <w:ilvl w:val="0"/>
                <w:numId w:val="11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报警设置：各参数报警上下限可灵活设置，具备智能报警抑制/延迟功能（如吸痰时短暂抑制SpO₂低报警）。</w:t>
            </w:r>
          </w:p>
          <w:p w14:paraId="4270D6E0">
            <w:pPr>
              <w:widowControl w:val="0"/>
              <w:numPr>
                <w:ilvl w:val="0"/>
                <w:numId w:val="11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报警事件记录：详细记录报警发生时间、参数、值、报警级别、持续时间、操作员处理（如暂停/确认）。</w:t>
            </w:r>
          </w:p>
          <w:p w14:paraId="6FBDB9E6">
            <w:pPr>
              <w:widowControl w:val="0"/>
              <w:numPr>
                <w:ilvl w:val="0"/>
                <w:numId w:val="11"/>
              </w:numPr>
              <w:ind w:left="612" w:leftChars="177" w:hanging="240" w:hangingChars="100"/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声光强度：报警声音响亮清晰可辨（≥80dB），光闪醒目。具备夜间模式降低亮度/音量。</w:t>
            </w:r>
          </w:p>
          <w:p w14:paraId="54D2BBF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2.3.4连续性与集成性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 w14:paraId="3DDE9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leftChars="177" w:hanging="240" w:hanging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网络：标配以太网接口，支持HL7、DICOM等协议，便于接入医院HIS/PACS系统和麻醉临床信息系统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54E05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USB：≥2个USB端口（用于数据导出、软件升级、连接外设如键盘）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68737D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扩展槽/端口：用于连接未来可能的扩展模块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095C4B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12" w:leftChars="177" w:hanging="240" w:hanging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中央站支持：支持通过有线/无线网络连接至中央监护站，实现多床位集中监控（需医院有中央站系统）。</w:t>
            </w:r>
          </w:p>
          <w:p w14:paraId="69AE46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2.3.5物理特性与可靠性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</w:p>
          <w:p w14:paraId="33DBEB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电源：交直流两用。内置高容量可充电电池，续航时间≥3小时。</w:t>
            </w:r>
          </w:p>
          <w:p w14:paraId="2C756D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防护等级：达到或超过IPX1（防垂直滴水）。</w:t>
            </w:r>
          </w:p>
          <w:p w14:paraId="5CE74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移动性：配备灵活稳固的推车或吊臂支架接口。</w:t>
            </w:r>
          </w:p>
          <w:p w14:paraId="2FF93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firstLine="142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模块化设计：参数模块（如NIBP、SpO₂、IBP、Temp、气体）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68889CD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配置要求：</w:t>
            </w:r>
          </w:p>
          <w:p w14:paraId="56AB3B93">
            <w:pPr>
              <w:widowControl w:val="0"/>
              <w:numPr>
                <w:ilvl w:val="0"/>
                <w:numId w:val="0"/>
              </w:numPr>
              <w:ind w:leftChars="0"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监护仪主机、体温探头、有创监测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等各种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</w:rPr>
              <w:t>连接线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eastAsia="zh-CN"/>
              </w:rPr>
              <w:t>。</w:t>
            </w:r>
          </w:p>
          <w:p w14:paraId="2C4E0F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四、满足临床科研要求，能提取保存的各种数据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  <w:p w14:paraId="4FC63A41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五、售后服务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2E3B44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保修期：≥3年整机保修（核心部件如屏幕、主板应更长）。</w:t>
            </w:r>
          </w:p>
          <w:p w14:paraId="60D8D6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响应时间：明确现场服务响应时间（如市区≤4小时，24小时工程师支持）。</w:t>
            </w:r>
          </w:p>
          <w:p w14:paraId="2F0D7F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备件供应：常用备件本地库存储备。 </w:t>
            </w:r>
          </w:p>
          <w:p w14:paraId="6EC6A5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5.4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培训支持：提供操作及灭菌培训。</w:t>
            </w:r>
          </w:p>
        </w:tc>
      </w:tr>
    </w:tbl>
    <w:p w14:paraId="40EBB29E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C7C4C3A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 w14:paraId="06E09A88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72C5BBD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701C46E6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614FB1A9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FF39BE1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E0D7777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3036C1EB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4EB3F84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2647B5E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39C1584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4AA043F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458B045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EAE4118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56643206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2DC5479B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7BF8CE90">
      <w:pPr>
        <w:keepNext w:val="0"/>
        <w:keepLines w:val="0"/>
        <w:widowControl/>
        <w:numPr>
          <w:ilvl w:val="0"/>
          <w:numId w:val="1"/>
        </w:numPr>
        <w:suppressLineNumbers w:val="0"/>
        <w:spacing w:line="240" w:lineRule="auto"/>
        <w:jc w:val="lef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多功能麻醉机</w:t>
      </w:r>
    </w:p>
    <w:p w14:paraId="724CD2E2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9390"/>
      </w:tblGrid>
      <w:tr w14:paraId="23E8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67" w:type="dxa"/>
            <w:vAlign w:val="center"/>
          </w:tcPr>
          <w:p w14:paraId="72822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9390" w:type="dxa"/>
            <w:vAlign w:val="center"/>
          </w:tcPr>
          <w:p w14:paraId="15542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多功能麻醉机</w:t>
            </w:r>
          </w:p>
        </w:tc>
      </w:tr>
      <w:tr w14:paraId="5B5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467" w:type="dxa"/>
            <w:vAlign w:val="center"/>
          </w:tcPr>
          <w:p w14:paraId="51EB1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  <w:p w14:paraId="0F5A19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清单</w:t>
            </w:r>
          </w:p>
        </w:tc>
        <w:tc>
          <w:tcPr>
            <w:tcW w:w="9390" w:type="dxa"/>
          </w:tcPr>
          <w:p w14:paraId="64EBC059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一、</w:t>
            </w: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406B6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设备适用于成人、儿童及新生儿的吸入麻醉及呼吸管理，具备全面的通气模式和监测功能，整机通过国家医疗器械注册认证。</w:t>
            </w:r>
          </w:p>
          <w:p w14:paraId="12D7CD2D">
            <w:pPr>
              <w:numPr>
                <w:ilvl w:val="0"/>
                <w:numId w:val="14"/>
              </w:numPr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4483E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工作条件及基本配置</w:t>
            </w:r>
          </w:p>
          <w:p w14:paraId="401BC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工作环境：温度10℃~40℃，相对湿度15%~95%，大气压500~800mmHg。</w:t>
            </w:r>
          </w:p>
          <w:p w14:paraId="53126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电源：220V±10%，50Hz±2%，具备后备电池。</w:t>
            </w:r>
          </w:p>
          <w:p w14:paraId="6503A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后备电池：满电状态下持续供电时间≥90分钟（新电池）。</w:t>
            </w:r>
          </w:p>
          <w:p w14:paraId="1AAFA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机架：配备推车，≥1个抽屉，脚轮带刹车装置，移动灵活。</w:t>
            </w:r>
          </w:p>
          <w:p w14:paraId="2D5A0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工作台照明：配备照明灯，亮度可调。</w:t>
            </w:r>
          </w:p>
          <w:p w14:paraId="3E7DB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接口：至少配备1个RS-232接口、1个以太网接口、1个USB接口。</w:t>
            </w:r>
          </w:p>
          <w:p w14:paraId="1CBCB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气源系统</w:t>
            </w:r>
          </w:p>
          <w:p w14:paraId="6BC785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气源配置：标配氧气、空气双气源，可选配笑气。</w:t>
            </w:r>
          </w:p>
          <w:p w14:paraId="0D530C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快速充氧：流量范围25L/min~75L/min。</w:t>
            </w:r>
          </w:p>
          <w:p w14:paraId="2A0B1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安全保护：供氧压力低于250kPa时应有报警提示。</w:t>
            </w:r>
          </w:p>
          <w:p w14:paraId="4B980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具备氧笑联动功能（选配笑气时有效），确保氧浓度不低于25%。</w:t>
            </w:r>
          </w:p>
          <w:p w14:paraId="6B0C4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流量计</w:t>
            </w:r>
          </w:p>
          <w:p w14:paraId="702145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配置高精度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电子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流量计。</w:t>
            </w:r>
          </w:p>
          <w:p w14:paraId="2387F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流量范围：氧气0~15L/min，空气0~15L/min（如配备笑气，笑气0~12L/min）。</w:t>
            </w:r>
          </w:p>
          <w:p w14:paraId="6B26F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屏幕可显示吸入和呼出氧浓度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，具备氧浓度监测。</w:t>
            </w:r>
          </w:p>
          <w:p w14:paraId="097F1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挥发罐</w:t>
            </w:r>
          </w:p>
          <w:p w14:paraId="1926BF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标配双罐位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，并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标配一个七氟醚挥发罐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与主机同品牌（非OEM）。</w:t>
            </w:r>
          </w:p>
          <w:p w14:paraId="69E45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挥发罐具备压力、流速、温度补偿功能。</w:t>
            </w:r>
          </w:p>
          <w:p w14:paraId="46DA4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挥发罐通过相应认证（如CE或FDA或NMPA）。</w:t>
            </w:r>
          </w:p>
          <w:p w14:paraId="6C36EA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呼吸回路</w:t>
            </w:r>
          </w:p>
          <w:p w14:paraId="57345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一体化集成回路，回路容积≤3.5L。</w:t>
            </w:r>
          </w:p>
          <w:p w14:paraId="072B13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回路部件可耐受134℃高温高压消毒。</w:t>
            </w:r>
          </w:p>
          <w:p w14:paraId="2D603C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采用可重复使用金属加热流量传感器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543F2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二氧化碳吸收罐容量≥1.3L。</w:t>
            </w:r>
          </w:p>
          <w:p w14:paraId="0B0AD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回路中配备吸入端、呼出端双流量传感器，传感器用户可自行校准或免工具拆装。</w:t>
            </w:r>
          </w:p>
          <w:p w14:paraId="78CB38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具备回路加热或冷凝防积水功能，有效减少回路内冷凝水对测量的影响。</w:t>
            </w:r>
          </w:p>
          <w:p w14:paraId="1D7B9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钠石灰罐安装状态应有智能识别和报警提示。</w:t>
            </w:r>
          </w:p>
          <w:p w14:paraId="3CD21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2.5.8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呼吸系统泄漏量≤150mL/min（在3kPa压力条件下）。</w:t>
            </w:r>
          </w:p>
          <w:p w14:paraId="080E18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呼吸机</w:t>
            </w:r>
          </w:p>
          <w:p w14:paraId="11C51B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驱动方式：气动电控或电动电控均可。</w:t>
            </w:r>
          </w:p>
          <w:p w14:paraId="0A4D4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通气模式：标配容量控制通气（VCV）、压力控制通气（PCV）、手动通气、电子PEEP。</w:t>
            </w:r>
          </w:p>
          <w:p w14:paraId="45290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呼吸频率：2~100次/分钟。</w:t>
            </w:r>
          </w:p>
          <w:p w14:paraId="6B7FA6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吸呼比：2:1~1:8。</w:t>
            </w:r>
          </w:p>
          <w:p w14:paraId="0C7FB1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最大吸气流速：≥120L/min。</w:t>
            </w:r>
          </w:p>
          <w:p w14:paraId="06DA1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压力控制模式下的吸气压力设置范围：5~70cmH₂O。</w:t>
            </w:r>
          </w:p>
          <w:p w14:paraId="23486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PEEP设置范围：OFF，4~30cmH₂O。</w:t>
            </w:r>
          </w:p>
          <w:p w14:paraId="504B3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2.6.8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压力限制范围：12~80cmH₂O。</w:t>
            </w:r>
          </w:p>
          <w:p w14:paraId="1E291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2.6.9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具备潮气量自动补偿功能（补偿新鲜气体变化、回路顺应性变化及轻微泄漏）。</w:t>
            </w:r>
          </w:p>
          <w:p w14:paraId="4AB563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2.6.10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窒息保护功能：窒息发生后10~30秒内启动备用通气模式。</w:t>
            </w:r>
          </w:p>
          <w:p w14:paraId="3F75C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监测参数</w:t>
            </w:r>
          </w:p>
          <w:p w14:paraId="19776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通气监测：潮气量（吸入、呼出）、分钟通气量、呼吸频率、气道压（峰压、平台压、平均压、PEEP）、动态顺应性。</w:t>
            </w:r>
          </w:p>
          <w:p w14:paraId="5FED99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标配麻醉气体监测模块（支持氧浓度监测）。</w:t>
            </w:r>
          </w:p>
          <w:p w14:paraId="71FD3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潮气量监测范围：0~1500ml（新生儿模式不低于5ml）。</w:t>
            </w:r>
          </w:p>
          <w:p w14:paraId="289B1ECB">
            <w:pPr>
              <w:widowControl w:val="0"/>
              <w:numPr>
                <w:ilvl w:val="0"/>
                <w:numId w:val="14"/>
              </w:numPr>
              <w:ind w:left="0" w:leftChars="0" w:firstLine="0" w:firstLineChars="0"/>
              <w:jc w:val="both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配置要求：</w:t>
            </w:r>
          </w:p>
          <w:p w14:paraId="6CD99B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显示与操作</w:t>
            </w:r>
          </w:p>
          <w:p w14:paraId="0BFD5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彩色触摸显示屏，屏幕尺寸≥15英寸。</w:t>
            </w:r>
          </w:p>
          <w:p w14:paraId="345A0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显示屏应为外置可调节角度设计，便于操作者观察。</w:t>
            </w:r>
          </w:p>
          <w:p w14:paraId="12185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可同屏显示不少于3通道波形（如压力-时间、流速-时间、容量-时间）。</w:t>
            </w:r>
          </w:p>
          <w:p w14:paraId="07575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具备中英文界面，三级声光报警（红、黄、灯），报警信息清晰。</w:t>
            </w:r>
          </w:p>
          <w:p w14:paraId="4B2DE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具备开机自检功能，可手动选择全自检或部分自检。</w:t>
            </w:r>
          </w:p>
          <w:p w14:paraId="7D6918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具备电子气道压力表，在主机屏幕实时显示。</w:t>
            </w:r>
          </w:p>
          <w:p w14:paraId="5E27B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可存储事件记录（≥5000条）。</w:t>
            </w:r>
          </w:p>
          <w:p w14:paraId="0A288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3.2其他功能</w:t>
            </w:r>
          </w:p>
          <w:p w14:paraId="27A047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3.2.1具备麻醉废气排放接口或被动排污系统。</w:t>
            </w:r>
          </w:p>
          <w:p w14:paraId="55A22F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3.2.2日志存储条目≥5000条，关机后保留。</w:t>
            </w:r>
          </w:p>
          <w:p w14:paraId="60605A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3.2.3配置废气回收装置、手麻系统支架</w:t>
            </w:r>
          </w:p>
          <w:p w14:paraId="4F75DE74">
            <w:pPr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1FD2D0F5">
            <w:pPr>
              <w:numPr>
                <w:ilvl w:val="0"/>
                <w:numId w:val="0"/>
              </w:numPr>
              <w:ind w:leftChars="0"/>
              <w:rPr>
                <w:rFonts w:hint="eastAsia" w:eastAsia="仿宋_GB2312"/>
                <w:b w:val="0"/>
                <w:bCs w:val="0"/>
                <w:color w:val="FF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四、售后服务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</w:p>
          <w:p w14:paraId="2354D6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整机保修≥2年，挥发罐保修≥3年。</w:t>
            </w:r>
          </w:p>
          <w:p w14:paraId="0AB837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厂家在贵州省内有常驻维修工程师或授权维修服务商，提供7×24小时响应。</w:t>
            </w:r>
          </w:p>
          <w:p w14:paraId="2A264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每年提供至少2次预防性维护和校准。</w:t>
            </w:r>
          </w:p>
          <w:p w14:paraId="5BAD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5" w:leftChars="0" w:hanging="425" w:firstLine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提供操作培训及维修培训。</w:t>
            </w:r>
          </w:p>
          <w:p w14:paraId="17A692D6">
            <w:pPr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0ECA47F3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7591AFBB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051E8E46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35EC2A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8B917D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ind w:leftChars="0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三、高频电刀（单极）</w:t>
      </w:r>
    </w:p>
    <w:p w14:paraId="3302C681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3B182777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9265"/>
      </w:tblGrid>
      <w:tr w14:paraId="57500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592" w:type="dxa"/>
            <w:vAlign w:val="center"/>
          </w:tcPr>
          <w:p w14:paraId="4F0FD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9265" w:type="dxa"/>
            <w:vAlign w:val="center"/>
          </w:tcPr>
          <w:p w14:paraId="55FB3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高频电刀（单极)</w:t>
            </w:r>
          </w:p>
        </w:tc>
      </w:tr>
      <w:tr w14:paraId="51FB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9" w:hRule="atLeast"/>
        </w:trPr>
        <w:tc>
          <w:tcPr>
            <w:tcW w:w="1592" w:type="dxa"/>
            <w:vAlign w:val="center"/>
          </w:tcPr>
          <w:p w14:paraId="025DFDCF"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  <w:p w14:paraId="44F86851">
            <w:pPr>
              <w:spacing w:line="360" w:lineRule="auto"/>
              <w:jc w:val="center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清单</w:t>
            </w:r>
          </w:p>
        </w:tc>
        <w:tc>
          <w:tcPr>
            <w:tcW w:w="9265" w:type="dxa"/>
          </w:tcPr>
          <w:p w14:paraId="5F29719C"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设备应用场景：</w:t>
            </w:r>
          </w:p>
          <w:p w14:paraId="50CEC6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主要适用于手术室、日间手术中心、内镜室、急诊处置室及部分专科门诊等医疗场景，用于外科手术中对人体组织进行切割、凝血、消融及精细电外科操作。</w:t>
            </w:r>
          </w:p>
          <w:p w14:paraId="313861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  <w:p w14:paraId="103C55DF"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主要参数：</w:t>
            </w:r>
          </w:p>
          <w:p w14:paraId="79F66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腔镜电勾及电凝线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采用通用接口设计</w:t>
            </w:r>
            <w:r>
              <w:rPr>
                <w:rFonts w:hint="eastAsia" w:ascii="宋体" w:hAnsi="宋体" w:eastAsia="宋体" w:cstheme="minorBidi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6C923B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核心功能：</w:t>
            </w:r>
          </w:p>
          <w:p w14:paraId="1B17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集成单极切割、凝血、混切功能于同一主机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1F1F60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具备组织阻抗监测与自适应功率输出功能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E250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2.1.3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具备完善安全报警系统（负极板接触质量监测报警、回路故障报警、功率超限报警、设备自检报警等）。</w:t>
            </w:r>
          </w:p>
          <w:p w14:paraId="46F68C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单极性能：</w:t>
            </w:r>
          </w:p>
          <w:p w14:paraId="720E33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切割功率范围：最大切割功率 ≥ 300W（纯切）。</w:t>
            </w:r>
          </w:p>
          <w:p w14:paraId="1C5B9B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2.2.2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凝血功率范围：最大凝血功率 ≥ 120W（喷凝），提供多种凝血模式（如：柔和凝、强力凝、点凝、喷凝等）。</w:t>
            </w:r>
          </w:p>
          <w:p w14:paraId="53965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双极凝血模式（≥2种）</w:t>
            </w:r>
          </w:p>
          <w:p w14:paraId="3A72B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宏双极：大血管结扎术，可安全闭合7mm以下动静脉，系统自动停止输出</w:t>
            </w:r>
          </w:p>
          <w:p w14:paraId="78428D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微双极/精确：高精度凝血</w:t>
            </w:r>
          </w:p>
          <w:p w14:paraId="444D43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2.3.3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双极强凝：快速凝血模式</w:t>
            </w:r>
          </w:p>
          <w:p w14:paraId="1F6E7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通用性能：</w:t>
            </w:r>
          </w:p>
          <w:p w14:paraId="2258C3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可靠性：平均无故障时间（MTBF）长，故障率低。</w:t>
            </w:r>
          </w:p>
          <w:p w14:paraId="0C08E1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易用性：参数设置直观、快捷。</w:t>
            </w:r>
          </w:p>
          <w:p w14:paraId="694F6C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稳定性：输出功率精准、稳定。</w:t>
            </w:r>
          </w:p>
          <w:p w14:paraId="471C0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2.4.4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电磁兼容性（EMC）：符合国家标准，不对其他设备产生干扰。</w:t>
            </w:r>
          </w:p>
          <w:p w14:paraId="67E87A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电气安全：</w:t>
            </w:r>
          </w:p>
          <w:p w14:paraId="31C09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符合最新版国家医用电气设备安全标准（GB 9706.1）及相关专用标准（如GB 9706.4）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FE862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2.5.2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具备CE认证或NMPA注册证（国内上市许可）。</w:t>
            </w:r>
          </w:p>
          <w:p w14:paraId="56E9A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物理规格：</w:t>
            </w:r>
          </w:p>
          <w:p w14:paraId="6F04DD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主机尺寸与重量：适合手术室空间及移动需求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24DE5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2.6.2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工作环境：满足手术室温湿度要求（如：温度10°C - 40°C，相对湿度30% - 65%）。</w:t>
            </w:r>
          </w:p>
          <w:p w14:paraId="775D4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连接与接口：</w:t>
            </w:r>
          </w:p>
          <w:p w14:paraId="263B4A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手控笔接口：通用标准接口，兼容主流品牌耗材（或指定接口类型）</w:t>
            </w:r>
          </w:p>
          <w:p w14:paraId="0B191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2.7.2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负极板接口：标准接口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20BBA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2.8其他要求：</w:t>
            </w:r>
          </w:p>
          <w:p w14:paraId="144D5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2.8.1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兼容常用的一次性负极板及电刀笔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3B124B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58" w:leftChars="75" w:firstLine="0" w:firstLineChars="0"/>
              <w:textAlignment w:val="auto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2.8.2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负极板接触质量实时监测：检测到极板接触面积过小或故障时，发出语音报警并停止输出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 w14:paraId="6ADB014B"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配置要求：</w:t>
            </w:r>
          </w:p>
          <w:p w14:paraId="6E11D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主机：1台</w:t>
            </w:r>
          </w:p>
          <w:p w14:paraId="1D9F58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集成单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双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极输出模块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21DD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彩色触摸显示屏，中英文操作界面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 w14:paraId="44D8E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3.1.3手控/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足踏控制接口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任意切换。</w:t>
            </w:r>
          </w:p>
          <w:p w14:paraId="659D5C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放置高频电刀的台车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：2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辆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</w:p>
          <w:p w14:paraId="18E46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基础配件：</w:t>
            </w:r>
          </w:p>
          <w:p w14:paraId="71A993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3.3.1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电源线：1根</w:t>
            </w:r>
          </w:p>
          <w:p w14:paraId="4EB69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3.3.2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设备推车：1套</w:t>
            </w:r>
          </w:p>
          <w:p w14:paraId="06F9B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3.3.3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操作手册（中文）：1份</w:t>
            </w:r>
          </w:p>
          <w:p w14:paraId="1F29A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3.3.4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基本维修工具包（若有）： 1套 </w:t>
            </w:r>
          </w:p>
          <w:p w14:paraId="2E9E3B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3.4单极组件：</w:t>
            </w:r>
          </w:p>
          <w:p w14:paraId="5678D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3.4.1单极手控笔（含切割、凝血按键）：至少2把 ；</w:t>
            </w:r>
          </w:p>
          <w:p w14:paraId="687DA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3.4.2单极回路负极板（可重复使用或一次性）：至少2块。</w:t>
            </w:r>
          </w:p>
          <w:p w14:paraId="2C5A8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3.4.3负极板连接电缆 ≥5根 </w:t>
            </w:r>
          </w:p>
          <w:p w14:paraId="496B65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3.5文档资料：</w:t>
            </w:r>
          </w:p>
          <w:p w14:paraId="13DC65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提供完整的中文技术文档（说明书、维修手册等）。</w:t>
            </w:r>
          </w:p>
          <w:p w14:paraId="5136A080">
            <w:pPr>
              <w:numPr>
                <w:ilvl w:val="0"/>
                <w:numId w:val="16"/>
              </w:numPr>
              <w:ind w:left="0" w:leftChars="0" w:firstLine="0" w:firstLineChars="0"/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售后服务：</w:t>
            </w:r>
          </w:p>
          <w:p w14:paraId="19E188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4.1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提供至少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年整机（含核心部件）原厂质保。</w:t>
            </w:r>
          </w:p>
          <w:p w14:paraId="40CCA4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4.2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提供及时有效的本地化技术支持与维修服务（明确响应时间要求，如24/48小时）。</w:t>
            </w:r>
          </w:p>
          <w:p w14:paraId="5662A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0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4.3</w:t>
            </w:r>
            <w: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提供操作培训（现场培训次数要求，如至少1次）。</w:t>
            </w:r>
          </w:p>
        </w:tc>
      </w:tr>
    </w:tbl>
    <w:p w14:paraId="4EFC26E2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49B8FC2A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09079F87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6BE4464D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3B3F286E">
      <w:pPr>
        <w:keepNext w:val="0"/>
        <w:keepLines w:val="0"/>
        <w:widowControl/>
        <w:numPr>
          <w:numId w:val="0"/>
        </w:numPr>
        <w:suppressLineNumbers w:val="0"/>
        <w:spacing w:line="240" w:lineRule="auto"/>
        <w:jc w:val="left"/>
        <w:rPr>
          <w:rFonts w:hint="default"/>
          <w:b/>
          <w:bCs w:val="0"/>
          <w:color w:val="000000"/>
          <w:sz w:val="24"/>
          <w:szCs w:val="24"/>
          <w:lang w:val="en-US" w:eastAsia="zh-CN"/>
        </w:rPr>
      </w:pPr>
    </w:p>
    <w:p w14:paraId="2C6DBDB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E39C27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DCE558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12FA39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997ED8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175A81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55FEB3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0E5B13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55A418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C8359B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8295D4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236DC8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874157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981B32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8B3851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34E6AC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7A9603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75413E8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500EA53">
      <w:pPr>
        <w:keepNext w:val="0"/>
        <w:keepLines w:val="0"/>
        <w:widowControl/>
        <w:numPr>
          <w:ilvl w:val="0"/>
          <w:numId w:val="0"/>
        </w:numPr>
        <w:suppressLineNumbers w:val="0"/>
        <w:spacing w:line="240" w:lineRule="auto"/>
        <w:ind w:leftChars="0"/>
        <w:jc w:val="left"/>
        <w:rPr>
          <w:rFonts w:hint="eastAsia"/>
          <w:b/>
          <w:bCs w:val="0"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int="eastAsia"/>
          <w:b/>
          <w:bCs w:val="0"/>
          <w:color w:val="000000"/>
          <w:sz w:val="24"/>
          <w:szCs w:val="24"/>
          <w:lang w:val="en-US" w:eastAsia="zh-CN"/>
        </w:rPr>
        <w:t>、可视喉镜</w:t>
      </w:r>
    </w:p>
    <w:p w14:paraId="0EF3EFF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15"/>
        <w:tblW w:w="10857" w:type="dxa"/>
        <w:tblInd w:w="-1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9390"/>
      </w:tblGrid>
      <w:tr w14:paraId="7827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467" w:type="dxa"/>
            <w:vAlign w:val="center"/>
          </w:tcPr>
          <w:p w14:paraId="6C5182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设备名称</w:t>
            </w:r>
          </w:p>
        </w:tc>
        <w:tc>
          <w:tcPr>
            <w:tcW w:w="9390" w:type="dxa"/>
            <w:vAlign w:val="center"/>
          </w:tcPr>
          <w:p w14:paraId="51521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可视喉镜</w:t>
            </w:r>
          </w:p>
        </w:tc>
      </w:tr>
      <w:tr w14:paraId="38383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</w:trPr>
        <w:tc>
          <w:tcPr>
            <w:tcW w:w="1467" w:type="dxa"/>
            <w:vAlign w:val="center"/>
          </w:tcPr>
          <w:p w14:paraId="18D60A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技术参数</w:t>
            </w:r>
          </w:p>
          <w:p w14:paraId="3CBB3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清单</w:t>
            </w:r>
          </w:p>
        </w:tc>
        <w:tc>
          <w:tcPr>
            <w:tcW w:w="9390" w:type="dxa"/>
          </w:tcPr>
          <w:p w14:paraId="76CF167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</w:p>
          <w:p w14:paraId="21C89296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配置清单</w:t>
            </w:r>
            <w:r>
              <w:rPr>
                <w:rFonts w:hint="eastAsia"/>
                <w:b/>
                <w:bCs/>
                <w:color w:val="auto"/>
                <w:sz w:val="24"/>
              </w:rPr>
              <w:t>：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可视咽喉镜主机，电源适配器。</w:t>
            </w:r>
          </w:p>
          <w:p w14:paraId="045E61F6">
            <w:pPr>
              <w:numPr>
                <w:ilvl w:val="0"/>
                <w:numId w:val="0"/>
              </w:numPr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性能要求：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可拍照和录像；可充电</w:t>
            </w:r>
          </w:p>
          <w:p w14:paraId="363AF1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4"/>
                <w:lang w:val="en-US" w:eastAsia="zh-CN"/>
              </w:rPr>
              <w:t>售后要求：</w:t>
            </w:r>
            <w:r>
              <w:rPr>
                <w:rFonts w:hint="eastAsia" w:ascii="宋体" w:hAnsi="宋体" w:eastAsia="宋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质保3年。</w:t>
            </w:r>
          </w:p>
          <w:p w14:paraId="5608A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C68BB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0CB1D1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8DB50A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830FDD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E48CAC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AE4025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EEF85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41F4D4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B18F99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E4BCF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EA426DA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7D1196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88BAD87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306565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DB53CA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7A28BE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3CF43C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1A04BD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4EBA72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D3C6F5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081EC8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1F816B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5A0FF85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D5C8A49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A79F78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03567A3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42BE91C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489106E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99FB79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0CB44A71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422D94F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附件4：技术参数偏离表（模板）</w:t>
      </w:r>
    </w:p>
    <w:p w14:paraId="19901C50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</w:p>
    <w:p w14:paraId="4477030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default" w:cs="宋体"/>
          <w:b/>
          <w:bCs/>
          <w:sz w:val="30"/>
          <w:szCs w:val="30"/>
          <w:lang w:val="en-US" w:eastAsia="zh-CN"/>
        </w:rPr>
        <w:t>技术参数响应及偏离表</w:t>
      </w:r>
    </w:p>
    <w:p w14:paraId="5074C8C5"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(由投标人据实</w:t>
      </w: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cs="宋体"/>
          <w:b w:val="0"/>
          <w:bCs w:val="0"/>
          <w:sz w:val="28"/>
          <w:szCs w:val="28"/>
          <w:lang w:val="en-US" w:eastAsia="zh-CN"/>
        </w:rPr>
        <w:t>)</w:t>
      </w:r>
    </w:p>
    <w:tbl>
      <w:tblPr>
        <w:tblStyle w:val="15"/>
        <w:tblW w:w="11101" w:type="dxa"/>
        <w:tblInd w:w="-1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50"/>
        <w:gridCol w:w="1977"/>
        <w:gridCol w:w="2904"/>
        <w:gridCol w:w="2128"/>
        <w:gridCol w:w="1323"/>
      </w:tblGrid>
      <w:tr w14:paraId="58399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8" w:hRule="atLeast"/>
        </w:trPr>
        <w:tc>
          <w:tcPr>
            <w:tcW w:w="819" w:type="dxa"/>
            <w:vAlign w:val="center"/>
          </w:tcPr>
          <w:p w14:paraId="19E8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950" w:type="dxa"/>
            <w:vAlign w:val="center"/>
          </w:tcPr>
          <w:p w14:paraId="2DCFE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招标产品要求参数</w:t>
            </w:r>
          </w:p>
        </w:tc>
        <w:tc>
          <w:tcPr>
            <w:tcW w:w="1977" w:type="dxa"/>
            <w:vAlign w:val="center"/>
          </w:tcPr>
          <w:p w14:paraId="034AA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投标产品实际参数</w:t>
            </w:r>
          </w:p>
        </w:tc>
        <w:tc>
          <w:tcPr>
            <w:tcW w:w="2904" w:type="dxa"/>
            <w:vAlign w:val="center"/>
          </w:tcPr>
          <w:p w14:paraId="0D1F0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产品实际参数证明材料</w:t>
            </w:r>
          </w:p>
          <w:p w14:paraId="1C055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出处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及页码</w:t>
            </w:r>
          </w:p>
        </w:tc>
        <w:tc>
          <w:tcPr>
            <w:tcW w:w="2128" w:type="dxa"/>
            <w:vAlign w:val="center"/>
          </w:tcPr>
          <w:p w14:paraId="53447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符合/正偏离/负偏离</w:t>
            </w:r>
          </w:p>
        </w:tc>
        <w:tc>
          <w:tcPr>
            <w:tcW w:w="1323" w:type="dxa"/>
            <w:vAlign w:val="center"/>
          </w:tcPr>
          <w:p w14:paraId="34158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b w:val="0"/>
                <w:bCs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C15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5169C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2A9CE7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81C266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1E5A8B2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445D18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6840B2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19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9F762F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AEF4F5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BD627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C7B74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6303A5A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5C943C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405F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B48C21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75CEB9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7664667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7E4C0A3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04124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1DEA43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348AB3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3341502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77" w:type="dxa"/>
          </w:tcPr>
          <w:p w14:paraId="254C1C9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04" w:type="dxa"/>
          </w:tcPr>
          <w:p w14:paraId="2998745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273617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3DD06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515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0162AA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4C44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（根据需要自行增加行、列）</w:t>
            </w:r>
          </w:p>
        </w:tc>
        <w:tc>
          <w:tcPr>
            <w:tcW w:w="1977" w:type="dxa"/>
          </w:tcPr>
          <w:p w14:paraId="148F7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904" w:type="dxa"/>
          </w:tcPr>
          <w:p w14:paraId="76CF4A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28" w:type="dxa"/>
          </w:tcPr>
          <w:p w14:paraId="3F38BE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23" w:type="dxa"/>
          </w:tcPr>
          <w:p w14:paraId="475A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rPr>
                <w:rFonts w:hint="default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6A009724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3B5286-7F4B-4425-845D-77088680A57A}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2" w:fontKey="{55A2BE31-77A1-4B9D-9215-251BB50B4F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D360478-FA4C-448E-81A9-D827005478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C47667F-ABD8-41A6-89D6-7E2D289A772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C3A2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F5628"/>
    <w:multiLevelType w:val="singleLevel"/>
    <w:tmpl w:val="8D8F562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961002"/>
    <w:multiLevelType w:val="singleLevel"/>
    <w:tmpl w:val="B2961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09956E3"/>
    <w:multiLevelType w:val="singleLevel"/>
    <w:tmpl w:val="C09956E3"/>
    <w:lvl w:ilvl="0" w:tentative="0">
      <w:start w:val="1"/>
      <w:numFmt w:val="lowerLetter"/>
      <w:suff w:val="nothing"/>
      <w:lvlText w:val="%1."/>
      <w:lvlJc w:val="left"/>
      <w:pPr>
        <w:ind w:left="454" w:leftChars="0" w:firstLine="113" w:firstLineChars="0"/>
      </w:pPr>
      <w:rPr>
        <w:rFonts w:hint="default"/>
      </w:rPr>
    </w:lvl>
  </w:abstractNum>
  <w:abstractNum w:abstractNumId="3">
    <w:nsid w:val="F51EDFEF"/>
    <w:multiLevelType w:val="singleLevel"/>
    <w:tmpl w:val="F51EDFEF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4">
    <w:nsid w:val="F779283F"/>
    <w:multiLevelType w:val="singleLevel"/>
    <w:tmpl w:val="F779283F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5">
    <w:nsid w:val="F867B990"/>
    <w:multiLevelType w:val="singleLevel"/>
    <w:tmpl w:val="F867B990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6">
    <w:nsid w:val="030E3052"/>
    <w:multiLevelType w:val="singleLevel"/>
    <w:tmpl w:val="030E3052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7">
    <w:nsid w:val="050D456E"/>
    <w:multiLevelType w:val="singleLevel"/>
    <w:tmpl w:val="050D456E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8">
    <w:nsid w:val="0B3AA999"/>
    <w:multiLevelType w:val="singleLevel"/>
    <w:tmpl w:val="0B3AA9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9">
    <w:nsid w:val="18F3596F"/>
    <w:multiLevelType w:val="singleLevel"/>
    <w:tmpl w:val="18F3596F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10">
    <w:nsid w:val="2990DE9C"/>
    <w:multiLevelType w:val="singleLevel"/>
    <w:tmpl w:val="2990DE9C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11">
    <w:nsid w:val="328D6ADD"/>
    <w:multiLevelType w:val="singleLevel"/>
    <w:tmpl w:val="328D6ADD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12">
    <w:nsid w:val="5EF7EC6F"/>
    <w:multiLevelType w:val="singleLevel"/>
    <w:tmpl w:val="5EF7EC6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0"/>
        <w:szCs w:val="20"/>
      </w:rPr>
    </w:lvl>
  </w:abstractNum>
  <w:abstractNum w:abstractNumId="13">
    <w:nsid w:val="6A57BDC6"/>
    <w:multiLevelType w:val="singleLevel"/>
    <w:tmpl w:val="6A57BDC6"/>
    <w:lvl w:ilvl="0" w:tentative="0">
      <w:start w:val="1"/>
      <w:numFmt w:val="lowerLetter"/>
      <w:suff w:val="nothing"/>
      <w:lvlText w:val="%1."/>
      <w:lvlJc w:val="left"/>
      <w:pPr>
        <w:ind w:left="454" w:leftChars="0" w:firstLine="113" w:firstLineChars="0"/>
      </w:pPr>
      <w:rPr>
        <w:rFonts w:hint="default"/>
      </w:rPr>
    </w:lvl>
  </w:abstractNum>
  <w:abstractNum w:abstractNumId="14">
    <w:nsid w:val="6D0259C3"/>
    <w:multiLevelType w:val="singleLevel"/>
    <w:tmpl w:val="6D0259C3"/>
    <w:lvl w:ilvl="0" w:tentative="0">
      <w:start w:val="1"/>
      <w:numFmt w:val="lowerLetter"/>
      <w:suff w:val="nothing"/>
      <w:lvlText w:val="%1."/>
      <w:lvlJc w:val="left"/>
      <w:pPr>
        <w:ind w:left="425" w:firstLine="142"/>
      </w:pPr>
      <w:rPr>
        <w:rFonts w:hint="default"/>
      </w:rPr>
    </w:lvl>
  </w:abstractNum>
  <w:abstractNum w:abstractNumId="15">
    <w:nsid w:val="764809CA"/>
    <w:multiLevelType w:val="singleLevel"/>
    <w:tmpl w:val="764809CA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4"/>
  </w:num>
  <w:num w:numId="5">
    <w:abstractNumId w:val="4"/>
  </w:num>
  <w:num w:numId="6">
    <w:abstractNumId w:val="2"/>
  </w:num>
  <w:num w:numId="7">
    <w:abstractNumId w:val="13"/>
  </w:num>
  <w:num w:numId="8">
    <w:abstractNumId w:val="11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3"/>
  </w:num>
  <w:num w:numId="14">
    <w:abstractNumId w:val="8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3DF2018"/>
    <w:rsid w:val="05C83698"/>
    <w:rsid w:val="070E48A8"/>
    <w:rsid w:val="07BC5A28"/>
    <w:rsid w:val="08970D02"/>
    <w:rsid w:val="090633D3"/>
    <w:rsid w:val="0A8A6F01"/>
    <w:rsid w:val="0BB574E9"/>
    <w:rsid w:val="0BC67500"/>
    <w:rsid w:val="0CCA131A"/>
    <w:rsid w:val="0DF33CF1"/>
    <w:rsid w:val="0DF72211"/>
    <w:rsid w:val="0F227162"/>
    <w:rsid w:val="0F5C08A7"/>
    <w:rsid w:val="10A62A18"/>
    <w:rsid w:val="1134315E"/>
    <w:rsid w:val="11BF336F"/>
    <w:rsid w:val="11C97D4A"/>
    <w:rsid w:val="11E626AA"/>
    <w:rsid w:val="11FF749C"/>
    <w:rsid w:val="149A59CD"/>
    <w:rsid w:val="16373051"/>
    <w:rsid w:val="165E7E7E"/>
    <w:rsid w:val="174F484D"/>
    <w:rsid w:val="179A4019"/>
    <w:rsid w:val="189212F3"/>
    <w:rsid w:val="18AD5A80"/>
    <w:rsid w:val="18CE3E98"/>
    <w:rsid w:val="19520625"/>
    <w:rsid w:val="1A120022"/>
    <w:rsid w:val="1AE22727"/>
    <w:rsid w:val="1C042A1F"/>
    <w:rsid w:val="1D57445C"/>
    <w:rsid w:val="1FD004F5"/>
    <w:rsid w:val="20784C33"/>
    <w:rsid w:val="22E542B8"/>
    <w:rsid w:val="24D2209E"/>
    <w:rsid w:val="26B72AA4"/>
    <w:rsid w:val="2B202C91"/>
    <w:rsid w:val="2CCB451E"/>
    <w:rsid w:val="2D7D23EE"/>
    <w:rsid w:val="2DBF5391"/>
    <w:rsid w:val="2DF60F5E"/>
    <w:rsid w:val="2F257DA7"/>
    <w:rsid w:val="2F80457E"/>
    <w:rsid w:val="31572824"/>
    <w:rsid w:val="322C3CB1"/>
    <w:rsid w:val="337551E4"/>
    <w:rsid w:val="349E5471"/>
    <w:rsid w:val="35FF587A"/>
    <w:rsid w:val="37A442EA"/>
    <w:rsid w:val="37F45D2F"/>
    <w:rsid w:val="38213DA4"/>
    <w:rsid w:val="383C5F9A"/>
    <w:rsid w:val="38474F05"/>
    <w:rsid w:val="38D526E1"/>
    <w:rsid w:val="394B75AF"/>
    <w:rsid w:val="3AA86919"/>
    <w:rsid w:val="3AE27603"/>
    <w:rsid w:val="3C004186"/>
    <w:rsid w:val="3C2B5111"/>
    <w:rsid w:val="3D626373"/>
    <w:rsid w:val="3DA7680A"/>
    <w:rsid w:val="3EEE1530"/>
    <w:rsid w:val="415648A7"/>
    <w:rsid w:val="41727207"/>
    <w:rsid w:val="42D25330"/>
    <w:rsid w:val="42FA64DC"/>
    <w:rsid w:val="432D3572"/>
    <w:rsid w:val="443D58AA"/>
    <w:rsid w:val="455467A5"/>
    <w:rsid w:val="461E3079"/>
    <w:rsid w:val="46A139FD"/>
    <w:rsid w:val="481007AD"/>
    <w:rsid w:val="49E17296"/>
    <w:rsid w:val="4AC86916"/>
    <w:rsid w:val="4C895DD1"/>
    <w:rsid w:val="4D1B0752"/>
    <w:rsid w:val="4D8E366A"/>
    <w:rsid w:val="4DD454D1"/>
    <w:rsid w:val="4E8C54B1"/>
    <w:rsid w:val="4EBB3F9B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6116B96"/>
    <w:rsid w:val="58346B6C"/>
    <w:rsid w:val="588B036D"/>
    <w:rsid w:val="58FC1D80"/>
    <w:rsid w:val="59017396"/>
    <w:rsid w:val="5F6E75C9"/>
    <w:rsid w:val="603E67DA"/>
    <w:rsid w:val="60402093"/>
    <w:rsid w:val="62AA0157"/>
    <w:rsid w:val="62E33669"/>
    <w:rsid w:val="63B25E95"/>
    <w:rsid w:val="63D74F7B"/>
    <w:rsid w:val="654952CF"/>
    <w:rsid w:val="6604073B"/>
    <w:rsid w:val="66102866"/>
    <w:rsid w:val="66D31996"/>
    <w:rsid w:val="688F3EA6"/>
    <w:rsid w:val="694035C3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11461F7"/>
    <w:rsid w:val="729907B2"/>
    <w:rsid w:val="735E1713"/>
    <w:rsid w:val="74B310ED"/>
    <w:rsid w:val="74BD1F6B"/>
    <w:rsid w:val="753D6B6C"/>
    <w:rsid w:val="75742F72"/>
    <w:rsid w:val="75881A8D"/>
    <w:rsid w:val="782E6441"/>
    <w:rsid w:val="786646C8"/>
    <w:rsid w:val="7877401B"/>
    <w:rsid w:val="78C338C8"/>
    <w:rsid w:val="79E359FC"/>
    <w:rsid w:val="7BAE551E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  <w:style w:type="paragraph" w:customStyle="1" w:styleId="35">
    <w:name w:val="Table Paragraph"/>
    <w:basedOn w:val="1"/>
    <w:qFormat/>
    <w:uiPriority w:val="1"/>
    <w:pPr>
      <w:ind w:left="11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5525</Words>
  <Characters>6528</Characters>
  <Lines>8</Lines>
  <Paragraphs>2</Paragraphs>
  <TotalTime>1</TotalTime>
  <ScaleCrop>false</ScaleCrop>
  <LinksUpToDate>false</LinksUpToDate>
  <CharactersWithSpaces>6713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吴定银</cp:lastModifiedBy>
  <dcterms:modified xsi:type="dcterms:W3CDTF">2026-07-17T03:46:35Z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7DF4184FBCB7417095EDF6424D74FF6F_13</vt:lpwstr>
  </property>
  <property fmtid="{D5CDD505-2E9C-101B-9397-08002B2CF9AE}" pid="4" name="KSOTemplateDocerSaveRecord">
    <vt:lpwstr>eyJoZGlkIjoiYmM0NzdjN2FkNWFlN2Y3YTk5NzNiZDRkZjhjNDgzOWQiLCJ1c2VySWQiOiIyNzYwMTQ1NDgifQ==</vt:lpwstr>
  </property>
</Properties>
</file>