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024E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B3C5C"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b/>
                <w:bCs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贵州航天医院竞争性磋商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二次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公告</w:t>
            </w:r>
          </w:p>
        </w:tc>
      </w:tr>
      <w:tr w14:paraId="08F37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146FB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一、项目基本情况：</w:t>
            </w:r>
          </w:p>
        </w:tc>
      </w:tr>
      <w:tr w14:paraId="261E4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28600">
            <w:pPr>
              <w:keepNext w:val="0"/>
              <w:keepLines w:val="0"/>
              <w:widowControl/>
              <w:suppressLineNumbers w:val="0"/>
              <w:jc w:val="left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项目名称：贵州航天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医院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麻醉科医疗设备一批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采购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项目</w:t>
            </w:r>
          </w:p>
        </w:tc>
      </w:tr>
      <w:tr w14:paraId="4746C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19D9C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采购方式：竞争性磋商</w:t>
            </w:r>
          </w:p>
        </w:tc>
      </w:tr>
      <w:tr w14:paraId="21FB5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88DEB">
            <w:pPr>
              <w:widowControl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预算金额：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见附件1</w:t>
            </w:r>
          </w:p>
        </w:tc>
      </w:tr>
      <w:tr w14:paraId="02D50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B5180">
            <w:pPr>
              <w:widowControl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最高限价：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见附件1</w:t>
            </w:r>
          </w:p>
        </w:tc>
      </w:tr>
      <w:tr w14:paraId="07E58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0AE93">
            <w:pPr>
              <w:pStyle w:val="20"/>
              <w:ind w:firstLine="480" w:firstLineChars="200"/>
              <w:rPr>
                <w:rFonts w:hint="default"/>
                <w:lang w:val="en-US" w:eastAsia="zh-CN"/>
              </w:rPr>
            </w:pPr>
            <w:r>
              <w:rPr>
                <w:rFonts w:eastAsia="FangSong_GB2312" w:asciiTheme="minorHAnsi" w:hAnsiTheme="minorHAnsi" w:cstheme="minorHAnsi"/>
                <w:lang w:bidi="ar"/>
              </w:rPr>
              <w:t>采购需求：</w:t>
            </w:r>
            <w:r>
              <w:rPr>
                <w:rFonts w:hint="eastAsia" w:eastAsia="FangSong_GB2312" w:asciiTheme="minorHAnsi" w:hAnsiTheme="minorHAnsi" w:cstheme="minorHAnsi"/>
                <w:lang w:val="en-US" w:eastAsia="zh-CN" w:bidi="ar"/>
              </w:rPr>
              <w:t>麻醉科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医疗设备一批（</w:t>
            </w:r>
            <w:r>
              <w:rPr>
                <w:rFonts w:hint="eastAsia" w:eastAsia="FangSong_GB2312" w:asciiTheme="minorHAnsi" w:hAnsiTheme="minorHAnsi" w:cstheme="minorHAnsi"/>
                <w:lang w:val="en-US" w:eastAsia="zh-CN" w:bidi="ar"/>
              </w:rPr>
              <w:t>该项目为</w:t>
            </w:r>
            <w:r>
              <w:rPr>
                <w:rFonts w:hint="eastAsia" w:eastAsia="FangSong_GB2312" w:asciiTheme="minorHAnsi" w:hAnsiTheme="minorHAnsi" w:cstheme="minorHAnsi"/>
                <w:b/>
                <w:bCs/>
                <w:lang w:val="en-US" w:eastAsia="zh-CN" w:bidi="ar"/>
              </w:rPr>
              <w:t>分项投标</w:t>
            </w:r>
            <w:r>
              <w:rPr>
                <w:rFonts w:hint="eastAsia" w:eastAsia="FangSong_GB2312" w:asciiTheme="minorHAnsi" w:hAnsiTheme="minorHAnsi" w:cstheme="minorHAnsi"/>
                <w:lang w:val="en-US" w:eastAsia="zh-CN" w:bidi="ar"/>
              </w:rPr>
              <w:t>）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，评分方法见附件2、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需提供技术参数偏离表（按模板附件4填写），按要求提供技术参数佐证材料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（设备参数要求见附件3、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技术参数偏离表模板见附件4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），二次报价以开标当日电话议价的方式进行。</w:t>
            </w:r>
          </w:p>
        </w:tc>
      </w:tr>
      <w:tr w14:paraId="38B15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CE5F6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合同履行期限：合同签订之日起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15个工作日内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履行</w:t>
            </w:r>
          </w:p>
        </w:tc>
      </w:tr>
      <w:tr w14:paraId="3DF57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E49AF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交货地点或服务地点：贵州航天医院</w:t>
            </w:r>
          </w:p>
        </w:tc>
      </w:tr>
      <w:tr w14:paraId="7791B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52DE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二、投标人资格要求：</w:t>
            </w:r>
          </w:p>
        </w:tc>
      </w:tr>
      <w:tr w14:paraId="62D49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FC28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提供独立承担民事责任的能力，如营业执照、自然人身份证明等</w:t>
            </w:r>
          </w:p>
        </w:tc>
      </w:tr>
      <w:tr w14:paraId="2846F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8F3B1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具有良好的商业信誉和健全的财务制度，具体要求（如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近两年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财务报表等）</w:t>
            </w:r>
          </w:p>
        </w:tc>
      </w:tr>
      <w:tr w14:paraId="355B2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89276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具有履行合同所必须的设备和专业技术能力（资料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及产品授权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14:paraId="34FBC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0C5B6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具有依法缴纳税收和社会保障金的良好记录</w:t>
            </w:r>
          </w:p>
        </w:tc>
      </w:tr>
      <w:tr w14:paraId="477D5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80F10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参加政府采购活动前三年内，在经营活动中没有重大违法记录（书面证明）</w:t>
            </w:r>
          </w:p>
        </w:tc>
      </w:tr>
      <w:tr w14:paraId="1E3B8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D93F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不是失信被执行人、重大税收违法案件当事人、政府采购严重违法失信行为人等的承诺或资料</w:t>
            </w:r>
          </w:p>
        </w:tc>
      </w:tr>
      <w:tr w14:paraId="44931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933E8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是否接受联合体投标：否</w:t>
            </w:r>
          </w:p>
        </w:tc>
      </w:tr>
      <w:tr w14:paraId="735CB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14EA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三、获取采购文件</w:t>
            </w:r>
          </w:p>
        </w:tc>
      </w:tr>
      <w:tr w14:paraId="08815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10A2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个工作日内</w:t>
            </w:r>
          </w:p>
        </w:tc>
      </w:tr>
      <w:tr w14:paraId="52269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E3479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获取采购文件的地点或方式：挂网公告</w:t>
            </w:r>
          </w:p>
        </w:tc>
      </w:tr>
      <w:tr w14:paraId="2C950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16E57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是否交纳投标保证金（交纳方式）：否</w:t>
            </w:r>
          </w:p>
        </w:tc>
      </w:tr>
      <w:tr w14:paraId="2F1A2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3AC5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四、响应文件提交</w:t>
            </w:r>
          </w:p>
        </w:tc>
      </w:tr>
      <w:tr w14:paraId="6C2AE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92BC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截止时间：自本公告发布之日起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个工作日内</w:t>
            </w:r>
          </w:p>
        </w:tc>
      </w:tr>
      <w:tr w14:paraId="5929A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7F185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sz w:val="24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提交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地点：贵州航天医院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外科综合楼一楼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医学装备部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采购办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）</w:t>
            </w:r>
          </w:p>
        </w:tc>
      </w:tr>
      <w:tr w14:paraId="7FC2B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1C3BD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咨询联系：采购办吴老师18785230603（微信同号）</w:t>
            </w:r>
          </w:p>
        </w:tc>
      </w:tr>
      <w:tr w14:paraId="5AA8D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2E34E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响应文件投递方式：现场投递或邮寄投递</w:t>
            </w:r>
          </w:p>
        </w:tc>
      </w:tr>
      <w:tr w14:paraId="2D143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87A48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投标人要求：需由法人或法人委托的代理人持“授权委托书”进行投递，邮寄需邮寄人为法人或代理人，代理人需附“授权委托书”。</w:t>
            </w:r>
          </w:p>
        </w:tc>
      </w:tr>
      <w:tr w14:paraId="6D91E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81B66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投标文件需为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纸质版，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胶装成册，一正两副，内含目录及页码，密封提交；封面需标注所投项目及序号。</w:t>
            </w:r>
          </w:p>
        </w:tc>
      </w:tr>
      <w:tr w14:paraId="176FD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F855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五、联系人及联系方式：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采购办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老师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，联系电话：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0851-27677989</w:t>
            </w:r>
          </w:p>
        </w:tc>
      </w:tr>
    </w:tbl>
    <w:p w14:paraId="26A7AE86">
      <w:pPr>
        <w:jc w:val="left"/>
        <w:rPr>
          <w:rFonts w:hint="eastAsia"/>
          <w:b/>
          <w:bCs/>
          <w:sz w:val="30"/>
          <w:szCs w:val="30"/>
          <w:lang w:eastAsia="zh-CN"/>
        </w:rPr>
      </w:pPr>
    </w:p>
    <w:p w14:paraId="3756E708">
      <w:pPr>
        <w:jc w:val="left"/>
        <w:rPr>
          <w:rFonts w:hint="default" w:cs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附件1：麻醉科采购设备名称及数量</w:t>
      </w:r>
    </w:p>
    <w:tbl>
      <w:tblPr>
        <w:tblStyle w:val="14"/>
        <w:tblW w:w="646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063"/>
        <w:gridCol w:w="2261"/>
        <w:gridCol w:w="1061"/>
        <w:gridCol w:w="1363"/>
        <w:gridCol w:w="1712"/>
        <w:gridCol w:w="1749"/>
      </w:tblGrid>
      <w:tr w14:paraId="51C90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822" w:type="pct"/>
            <w:shd w:val="clear" w:color="auto" w:fill="auto"/>
            <w:vAlign w:val="center"/>
          </w:tcPr>
          <w:p w14:paraId="41EB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科室</w:t>
            </w:r>
          </w:p>
        </w:tc>
        <w:tc>
          <w:tcPr>
            <w:tcW w:w="482" w:type="pct"/>
            <w:shd w:val="clear" w:color="auto" w:fill="auto"/>
            <w:vAlign w:val="center"/>
          </w:tcPr>
          <w:p w14:paraId="3337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5D0F8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申请设备名称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09C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618" w:type="pct"/>
            <w:shd w:val="clear" w:color="auto" w:fill="auto"/>
            <w:vAlign w:val="center"/>
          </w:tcPr>
          <w:p w14:paraId="14817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</w:t>
            </w:r>
          </w:p>
          <w:p w14:paraId="6749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1F6F7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1D664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拦标价</w:t>
            </w:r>
          </w:p>
          <w:p w14:paraId="609F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（元）</w:t>
            </w:r>
          </w:p>
        </w:tc>
      </w:tr>
      <w:tr w14:paraId="2DBEC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822" w:type="pct"/>
            <w:vMerge w:val="restart"/>
            <w:shd w:val="clear" w:color="auto" w:fill="auto"/>
            <w:vAlign w:val="center"/>
          </w:tcPr>
          <w:p w14:paraId="1FDF1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麻醉科</w:t>
            </w:r>
          </w:p>
          <w:p w14:paraId="1381B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（分项投标）</w:t>
            </w:r>
          </w:p>
        </w:tc>
        <w:tc>
          <w:tcPr>
            <w:tcW w:w="482" w:type="pct"/>
            <w:shd w:val="clear" w:color="auto" w:fill="auto"/>
            <w:vAlign w:val="center"/>
          </w:tcPr>
          <w:p w14:paraId="759245A3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740FFFA3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多参数监护仪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6B048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618" w:type="pct"/>
            <w:shd w:val="clear" w:color="auto" w:fill="auto"/>
            <w:vAlign w:val="center"/>
          </w:tcPr>
          <w:p w14:paraId="3DE203C6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5C88CE19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45000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4EBF71F7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180000</w:t>
            </w:r>
          </w:p>
        </w:tc>
      </w:tr>
      <w:tr w14:paraId="33481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822" w:type="pct"/>
            <w:vMerge w:val="continue"/>
            <w:shd w:val="clear" w:color="auto" w:fill="auto"/>
            <w:vAlign w:val="center"/>
          </w:tcPr>
          <w:p w14:paraId="5D837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14:paraId="74BAA4D4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4CACC90E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高频电刀（单极）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8A2A5F0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618" w:type="pct"/>
            <w:shd w:val="clear" w:color="auto" w:fill="auto"/>
            <w:vAlign w:val="center"/>
          </w:tcPr>
          <w:p w14:paraId="4AD19EFC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1BB21F7D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50000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77932C34">
            <w:pPr>
              <w:pStyle w:val="3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/>
              <w:ind w:left="11" w:leftChars="0" w:right="2" w:right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100000</w:t>
            </w:r>
          </w:p>
        </w:tc>
      </w:tr>
    </w:tbl>
    <w:p w14:paraId="08B1A9A0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jc w:val="center"/>
        <w:rPr>
          <w:rFonts w:hint="default" w:cs="宋体"/>
          <w:b/>
          <w:bCs/>
          <w:sz w:val="28"/>
          <w:szCs w:val="28"/>
          <w:lang w:val="en-US" w:eastAsia="zh-CN"/>
        </w:rPr>
      </w:pPr>
    </w:p>
    <w:tbl>
      <w:tblPr>
        <w:tblStyle w:val="14"/>
        <w:tblpPr w:leftFromText="180" w:rightFromText="180" w:vertAnchor="page" w:horzAnchor="margin" w:tblpX="-472" w:tblpY="2533"/>
        <w:tblOverlap w:val="never"/>
        <w:tblW w:w="9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2319"/>
        <w:gridCol w:w="1609"/>
        <w:gridCol w:w="1605"/>
        <w:gridCol w:w="1545"/>
        <w:gridCol w:w="1770"/>
      </w:tblGrid>
      <w:tr w14:paraId="079F5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</w:trPr>
        <w:tc>
          <w:tcPr>
            <w:tcW w:w="2825" w:type="dxa"/>
            <w:gridSpan w:val="2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  <w:tl2br w:val="single" w:color="000000" w:sz="4" w:space="0"/>
            </w:tcBorders>
            <w:shd w:val="clear" w:color="auto" w:fill="FFFFFF"/>
            <w:noWrap w:val="0"/>
            <w:vAlign w:val="top"/>
          </w:tcPr>
          <w:p w14:paraId="66398B72">
            <w:pPr>
              <w:ind w:right="630"/>
              <w:jc w:val="right"/>
              <w:rPr>
                <w:rFonts w:ascii="宋体"/>
                <w:color w:val="000000"/>
                <w:szCs w:val="20"/>
              </w:rPr>
            </w:pPr>
            <w:r>
              <w:rPr>
                <w:rFonts w:hint="eastAsia" w:ascii="宋体"/>
                <w:color w:val="000000"/>
                <w:szCs w:val="20"/>
              </w:rPr>
              <w:t>投标单位</w:t>
            </w:r>
          </w:p>
          <w:p w14:paraId="235324E1">
            <w:pPr>
              <w:rPr>
                <w:rFonts w:ascii="宋体"/>
                <w:color w:val="000000"/>
                <w:szCs w:val="20"/>
              </w:rPr>
            </w:pPr>
            <w:r>
              <w:rPr>
                <w:rFonts w:hint="eastAsia" w:ascii="宋体"/>
                <w:color w:val="000000"/>
                <w:szCs w:val="20"/>
              </w:rPr>
              <w:t>分值</w:t>
            </w:r>
          </w:p>
        </w:tc>
        <w:tc>
          <w:tcPr>
            <w:tcW w:w="1609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0A6B05">
            <w:pPr>
              <w:jc w:val="center"/>
              <w:rPr>
                <w:rFonts w:hint="default" w:ascii="宋体" w:eastAsia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  <w:tc>
          <w:tcPr>
            <w:tcW w:w="1605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892EB2">
            <w:pPr>
              <w:jc w:val="center"/>
              <w:rPr>
                <w:rFonts w:hint="default" w:asci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  <w:tc>
          <w:tcPr>
            <w:tcW w:w="1545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2DBCB2">
            <w:pPr>
              <w:jc w:val="center"/>
              <w:rPr>
                <w:rFonts w:hint="default" w:asci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  <w:tc>
          <w:tcPr>
            <w:tcW w:w="1770" w:type="dxa"/>
            <w:tcBorders>
              <w:top w:val="single" w:color="ED7F13" w:sz="12" w:space="0"/>
              <w:left w:val="single" w:color="auto" w:sz="4" w:space="0"/>
              <w:bottom w:val="single" w:color="ED7F13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BA393B">
            <w:pPr>
              <w:jc w:val="center"/>
              <w:rPr>
                <w:rFonts w:hint="default" w:ascii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  <w:lang w:val="en-US" w:eastAsia="zh-CN"/>
              </w:rPr>
              <w:t>XXX公司</w:t>
            </w:r>
          </w:p>
        </w:tc>
      </w:tr>
      <w:tr w14:paraId="564C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2825" w:type="dxa"/>
            <w:gridSpan w:val="2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7AFD12F">
            <w:pPr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代理品牌或型号</w:t>
            </w:r>
          </w:p>
        </w:tc>
        <w:tc>
          <w:tcPr>
            <w:tcW w:w="1609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5036548">
            <w:pPr>
              <w:jc w:val="center"/>
              <w:rPr>
                <w:rFonts w:hint="default" w:ascii="宋体" w:eastAsia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3714734">
            <w:pPr>
              <w:jc w:val="center"/>
              <w:rPr>
                <w:rFonts w:hint="default" w:ascii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79F112FA">
            <w:pPr>
              <w:jc w:val="center"/>
              <w:rPr>
                <w:rFonts w:hint="default" w:ascii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770" w:type="dxa"/>
            <w:tcBorders>
              <w:top w:val="single" w:color="ED7F13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BB78E2B">
            <w:pPr>
              <w:jc w:val="center"/>
              <w:rPr>
                <w:rFonts w:hint="default" w:ascii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7E6EF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</w:trPr>
        <w:tc>
          <w:tcPr>
            <w:tcW w:w="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7AF568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商</w:t>
            </w:r>
          </w:p>
          <w:p w14:paraId="4C5887A8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务</w:t>
            </w:r>
          </w:p>
          <w:p w14:paraId="6B0B810C">
            <w:pPr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分15分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CCBF60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公司业绩（满分3分)</w:t>
            </w:r>
          </w:p>
          <w:p w14:paraId="5C16C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  <w:t>每提供一条相同产品业绩得一分，满分3分</w:t>
            </w:r>
            <w:r>
              <w:rPr>
                <w:rFonts w:hint="eastAsia" w:ascii="宋体"/>
                <w:color w:val="FF0000"/>
                <w:sz w:val="15"/>
                <w:szCs w:val="15"/>
                <w:lang w:val="en-US" w:eastAsia="zh-CN"/>
              </w:rPr>
              <w:t>（备注：公司业绩指的是生产厂家同品牌、同型号设备业绩。）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B85F0C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3357C1">
            <w:pPr>
              <w:spacing w:line="400" w:lineRule="exact"/>
              <w:jc w:val="center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1E23D6A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4BA5BC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  <w:lang w:val="en-US" w:eastAsia="zh-CN"/>
              </w:rPr>
            </w:pPr>
          </w:p>
        </w:tc>
      </w:tr>
      <w:tr w14:paraId="52497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7" w:hRule="atLeast"/>
        </w:trPr>
        <w:tc>
          <w:tcPr>
            <w:tcW w:w="5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832409C">
            <w:pPr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8561763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保修时效（满分12分)</w:t>
            </w:r>
          </w:p>
          <w:p w14:paraId="4C73E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  <w:t>在基础保修一年的基础上每增加一年得3分，5年满分12分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4F56DB5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92A3D6C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9D7D0D4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5BB03AA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14:paraId="2BFF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EFC14B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价</w:t>
            </w:r>
          </w:p>
          <w:p w14:paraId="3F1A23BC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格</w:t>
            </w:r>
          </w:p>
          <w:p w14:paraId="5B45F54E">
            <w:pPr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分35分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23B54E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产品报价（满分35分)</w:t>
            </w:r>
          </w:p>
          <w:p w14:paraId="39A82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  <w:t>报价最低得满分35分，按报价高低依次递减3分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6737AC">
            <w:pPr>
              <w:spacing w:line="400" w:lineRule="exact"/>
              <w:jc w:val="left"/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</w:pPr>
          </w:p>
          <w:p w14:paraId="50FA0598">
            <w:pPr>
              <w:spacing w:line="400" w:lineRule="exact"/>
              <w:jc w:val="left"/>
              <w:rPr>
                <w:rFonts w:hint="default" w:ascii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EF9366">
            <w:pPr>
              <w:spacing w:line="400" w:lineRule="exact"/>
              <w:jc w:val="left"/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</w:pPr>
          </w:p>
          <w:p w14:paraId="796A10FE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566F0F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B5E368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14:paraId="38F9C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</w:trPr>
        <w:tc>
          <w:tcPr>
            <w:tcW w:w="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0DBB9D55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设备性能</w:t>
            </w:r>
          </w:p>
          <w:p w14:paraId="01B52665">
            <w:pPr>
              <w:rPr>
                <w:rFonts w:hint="eastAsia" w:asci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满意度</w:t>
            </w:r>
          </w:p>
          <w:p w14:paraId="5BFBA88B">
            <w:pPr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50分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EB2FA0A">
            <w:pPr>
              <w:widowControl/>
              <w:spacing w:line="240" w:lineRule="exact"/>
              <w:rPr>
                <w:rFonts w:hint="default" w:ascii="宋体"/>
                <w:color w:val="000000"/>
                <w:szCs w:val="20"/>
                <w:lang w:val="en-US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满足技术参数（满分40分)</w:t>
            </w:r>
            <w:r>
              <w:rPr>
                <w:rFonts w:hint="eastAsia" w:ascii="宋体"/>
                <w:color w:val="000000"/>
                <w:sz w:val="15"/>
                <w:szCs w:val="15"/>
                <w:lang w:val="en-US" w:eastAsia="zh-CN"/>
              </w:rPr>
              <w:t>每一条参数不满足扣2分扣完为止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4A53B4DB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F8D7104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7EE34141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5A625A4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</w:tr>
      <w:tr w14:paraId="002BF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7" w:hRule="atLeast"/>
        </w:trPr>
        <w:tc>
          <w:tcPr>
            <w:tcW w:w="5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66B2794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7654A1">
            <w:pPr>
              <w:rPr>
                <w:rFonts w:hint="default" w:ascii="宋体" w:eastAsia="宋体"/>
                <w:color w:val="000000"/>
                <w:szCs w:val="20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服务方案满意度（满分10分)</w:t>
            </w:r>
            <w:r>
              <w:rPr>
                <w:rFonts w:hint="eastAsia" w:ascii="宋体"/>
                <w:color w:val="000000"/>
                <w:sz w:val="18"/>
                <w:szCs w:val="18"/>
                <w:lang w:val="en-US" w:eastAsia="zh-CN"/>
              </w:rPr>
              <w:t>差0-3分、良4-6分、优7-10分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CBCD2A8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93F4A8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900046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704A4F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</w:tr>
      <w:tr w14:paraId="3ED2C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3" w:hRule="atLeast"/>
        </w:trPr>
        <w:tc>
          <w:tcPr>
            <w:tcW w:w="2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C2643D4">
            <w:pPr>
              <w:spacing w:line="400" w:lineRule="exact"/>
              <w:jc w:val="center"/>
              <w:rPr>
                <w:rFonts w:hint="eastAsia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备注：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759E92F7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DDF580E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C95AE6E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5B488219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</w:tr>
      <w:tr w14:paraId="34425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2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779613E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得</w:t>
            </w:r>
            <w:r>
              <w:rPr>
                <w:rFonts w:hint="eastAsia" w:ascii="宋体"/>
                <w:color w:val="000000"/>
                <w:szCs w:val="21"/>
              </w:rPr>
              <w:t>分：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31736B77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00E8F928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665AD0A7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E7"/>
            <w:noWrap w:val="0"/>
            <w:vAlign w:val="center"/>
          </w:tcPr>
          <w:p w14:paraId="200A416C">
            <w:pPr>
              <w:spacing w:line="40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</w:tr>
    </w:tbl>
    <w:p w14:paraId="1CF065A9">
      <w:pPr>
        <w:pStyle w:val="9"/>
        <w:spacing w:before="0" w:beforeAutospacing="0" w:after="0" w:afterAutospacing="0" w:line="440" w:lineRule="exact"/>
        <w:jc w:val="both"/>
        <w:rPr>
          <w:rFonts w:hint="eastAsia" w:cs="宋体"/>
          <w:b/>
          <w:bCs/>
          <w:sz w:val="30"/>
          <w:szCs w:val="30"/>
          <w:lang w:val="en-US" w:eastAsia="zh-CN"/>
        </w:rPr>
      </w:pPr>
    </w:p>
    <w:p w14:paraId="7184BB18">
      <w:pPr>
        <w:pStyle w:val="9"/>
        <w:spacing w:before="0" w:beforeAutospacing="0" w:after="0" w:afterAutospacing="0" w:line="440" w:lineRule="exact"/>
        <w:jc w:val="left"/>
        <w:rPr>
          <w:rFonts w:hint="default" w:cs="宋体"/>
          <w:b/>
          <w:bCs/>
          <w:sz w:val="30"/>
          <w:szCs w:val="30"/>
          <w:lang w:val="en-US" w:eastAsia="zh-CN"/>
        </w:rPr>
      </w:pPr>
      <w:r>
        <w:rPr>
          <w:rFonts w:hint="eastAsia" w:cs="宋体"/>
          <w:b/>
          <w:bCs/>
          <w:sz w:val="30"/>
          <w:szCs w:val="30"/>
          <w:lang w:val="en-US" w:eastAsia="zh-CN"/>
        </w:rPr>
        <w:t>附件2：评分方法</w:t>
      </w:r>
    </w:p>
    <w:p w14:paraId="1DB5EDA9">
      <w:pPr>
        <w:rPr>
          <w:rFonts w:hint="eastAsia" w:cs="宋体"/>
          <w:b/>
          <w:bCs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750E1B5">
      <w:pPr>
        <w:pStyle w:val="9"/>
        <w:spacing w:before="0" w:beforeAutospacing="0" w:after="0" w:afterAutospacing="0" w:line="440" w:lineRule="exact"/>
        <w:jc w:val="left"/>
        <w:rPr>
          <w:rFonts w:hint="eastAsia" w:cs="宋体"/>
          <w:b/>
          <w:bCs/>
          <w:sz w:val="30"/>
          <w:szCs w:val="30"/>
          <w:lang w:val="en-US" w:eastAsia="zh-CN"/>
        </w:rPr>
      </w:pPr>
      <w:r>
        <w:rPr>
          <w:rFonts w:hint="eastAsia" w:cs="宋体"/>
          <w:b/>
          <w:bCs/>
          <w:sz w:val="30"/>
          <w:szCs w:val="30"/>
          <w:lang w:val="en-US" w:eastAsia="zh-CN"/>
        </w:rPr>
        <w:t>附件3：采购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技术参数</w:t>
      </w:r>
      <w:r>
        <w:rPr>
          <w:rFonts w:hint="eastAsia" w:cs="宋体"/>
          <w:b/>
          <w:bCs/>
          <w:sz w:val="30"/>
          <w:szCs w:val="30"/>
          <w:lang w:eastAsia="zh-CN"/>
        </w:rPr>
        <w:t>（</w:t>
      </w:r>
      <w:r>
        <w:rPr>
          <w:rFonts w:hint="eastAsia" w:cs="宋体"/>
          <w:b/>
          <w:bCs/>
          <w:sz w:val="30"/>
          <w:szCs w:val="30"/>
          <w:lang w:val="en-US" w:eastAsia="zh-CN"/>
        </w:rPr>
        <w:t>需提供技术参数偏离表）</w:t>
      </w:r>
    </w:p>
    <w:p w14:paraId="227AACCA">
      <w:pPr>
        <w:pStyle w:val="9"/>
        <w:spacing w:before="0" w:beforeAutospacing="0" w:after="0" w:afterAutospacing="0" w:line="440" w:lineRule="exact"/>
        <w:jc w:val="center"/>
        <w:rPr>
          <w:rFonts w:hint="default" w:cs="宋体"/>
          <w:b/>
          <w:bCs/>
          <w:sz w:val="30"/>
          <w:szCs w:val="30"/>
          <w:lang w:val="en-US" w:eastAsia="zh-CN"/>
        </w:rPr>
      </w:pPr>
    </w:p>
    <w:p w14:paraId="1ECC361D">
      <w:pPr>
        <w:keepNext w:val="0"/>
        <w:keepLines w:val="0"/>
        <w:widowControl/>
        <w:numPr>
          <w:ilvl w:val="0"/>
          <w:numId w:val="1"/>
        </w:numPr>
        <w:suppressLineNumbers w:val="0"/>
        <w:spacing w:line="240" w:lineRule="auto"/>
        <w:jc w:val="left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多参数监护仪</w:t>
      </w:r>
    </w:p>
    <w:p w14:paraId="41B9F572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tbl>
      <w:tblPr>
        <w:tblStyle w:val="15"/>
        <w:tblW w:w="10857" w:type="dxa"/>
        <w:tblInd w:w="-1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9540"/>
      </w:tblGrid>
      <w:tr w14:paraId="4689F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317" w:type="dxa"/>
            <w:vAlign w:val="center"/>
          </w:tcPr>
          <w:p w14:paraId="6931E5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设备名称</w:t>
            </w:r>
          </w:p>
        </w:tc>
        <w:tc>
          <w:tcPr>
            <w:tcW w:w="9540" w:type="dxa"/>
            <w:vAlign w:val="center"/>
          </w:tcPr>
          <w:p w14:paraId="69CD22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b/>
                <w:bCs/>
                <w:color w:val="00000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多参数监护仪</w:t>
            </w:r>
          </w:p>
        </w:tc>
      </w:tr>
      <w:tr w14:paraId="241E0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3" w:hRule="atLeast"/>
        </w:trPr>
        <w:tc>
          <w:tcPr>
            <w:tcW w:w="1317" w:type="dxa"/>
            <w:vAlign w:val="center"/>
          </w:tcPr>
          <w:p w14:paraId="69C171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技术参数清单</w:t>
            </w:r>
          </w:p>
        </w:tc>
        <w:tc>
          <w:tcPr>
            <w:tcW w:w="9540" w:type="dxa"/>
          </w:tcPr>
          <w:p w14:paraId="4424D789">
            <w:pPr>
              <w:numPr>
                <w:ilvl w:val="0"/>
                <w:numId w:val="0"/>
              </w:numPr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 w:cs="仿宋_GB2312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一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/>
                <w:b/>
                <w:bCs/>
                <w:color w:val="auto"/>
                <w:sz w:val="24"/>
              </w:rPr>
              <w:t>设备应用场景：</w:t>
            </w:r>
          </w:p>
          <w:p w14:paraId="191557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用于持续监测患者的生命体征参数，适用于手术室、ICU、急诊科、麻醉恢复室及普通病房等临床环境，实时显示心电、心率、血压、血氧饱和度、呼吸、体温等数据，辅助临床判断与危急值预警。</w:t>
            </w:r>
          </w:p>
          <w:p w14:paraId="69B551C3">
            <w:pPr>
              <w:numPr>
                <w:ilvl w:val="0"/>
                <w:numId w:val="2"/>
              </w:numPr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主要参数：</w:t>
            </w:r>
          </w:p>
          <w:p w14:paraId="068F7BC3">
            <w:pPr>
              <w:numPr>
                <w:ilvl w:val="0"/>
                <w:numId w:val="0"/>
              </w:numP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2.1基本要求：</w:t>
            </w:r>
          </w:p>
          <w:p w14:paraId="69E10185">
            <w:pPr>
              <w:widowControl w:val="0"/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2.1.1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适用级别：明确适用于三级甲等医院手术室、ICU，满足高难度/高风险（四级）手术麻醉监护需求。</w:t>
            </w:r>
          </w:p>
          <w:p w14:paraId="744FCB36">
            <w:pPr>
              <w:widowControl w:val="0"/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2.1.2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认证标准：符合NMPA III类医疗器械注册认证，并满足相关的国际安全标准（如IEC 60601-1, IEC 60601-2-27, IEC 60601-2-49等）。</w:t>
            </w:r>
          </w:p>
          <w:p w14:paraId="54BE02A3">
            <w:pPr>
              <w:widowControl w:val="0"/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2.1.3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显示：</w:t>
            </w:r>
          </w:p>
          <w:p w14:paraId="164D3ED6">
            <w:pPr>
              <w:widowControl w:val="0"/>
              <w:numPr>
                <w:ilvl w:val="0"/>
                <w:numId w:val="3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屏幕：≥1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英寸高分辨率彩色LED/LCD触摸屏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（显示屏能外置，方便调节最好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），亮度可调，抗眩光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22911AD2">
            <w:pPr>
              <w:widowControl w:val="0"/>
              <w:numPr>
                <w:ilvl w:val="0"/>
                <w:numId w:val="3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界面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：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图形化用户界面，支持中文操作，波形和参数可自定义布局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323C2866">
            <w:pPr>
              <w:widowControl w:val="0"/>
              <w:numPr>
                <w:ilvl w:val="0"/>
                <w:numId w:val="3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波形显示：同时显示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6道波形。</w:t>
            </w:r>
          </w:p>
          <w:p w14:paraId="76C2E32D">
            <w:pPr>
              <w:widowControl w:val="0"/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2.1.4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数据存储与回顾：</w:t>
            </w:r>
          </w:p>
          <w:p w14:paraId="467FDCB0">
            <w:pPr>
              <w:widowControl w:val="0"/>
              <w:numPr>
                <w:ilvl w:val="0"/>
                <w:numId w:val="4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趋势存储：存储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≥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72小时（理想≥7天）的详细趋势数据（包括所有波形和参数）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2DC8397B">
            <w:pPr>
              <w:widowControl w:val="0"/>
              <w:numPr>
                <w:ilvl w:val="0"/>
                <w:numId w:val="4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报警事件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：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详细存储报警事件（类型、时间、参数值、持续时间）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5341AE81">
            <w:pPr>
              <w:widowControl w:val="0"/>
              <w:numPr>
                <w:ilvl w:val="0"/>
                <w:numId w:val="4"/>
              </w:numPr>
              <w:ind w:left="612" w:leftChars="177" w:hanging="240" w:hanging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导出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：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支持通过USB、以太网或Wi-Fi导出趋势报告、报警事件、配置信息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支持PDF、XML或特定格式导出。</w:t>
            </w:r>
          </w:p>
          <w:p w14:paraId="1618A7D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2.2核心监测参数：（必须满足高精度、高采样率、抗干扰性强）</w:t>
            </w:r>
          </w:p>
          <w:p w14:paraId="71DF9E9E">
            <w:pPr>
              <w:widowControl w:val="0"/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心电监测：</w:t>
            </w:r>
          </w:p>
          <w:p w14:paraId="0577E095">
            <w:pPr>
              <w:widowControl w:val="0"/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导联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：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标准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导联同步采集与分析能力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0B17F33A">
            <w:pPr>
              <w:widowControl w:val="0"/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心率：测量范围 20 - 300 bpm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32E777EA">
            <w:pPr>
              <w:widowControl w:val="0"/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心律失常分析：具备全面的心律失常分析报警功能（至少包括：室颤、室速、停搏、室早（单发、连发）、房颤/房扑、二联律/三联律、心动过速/过缓、ST段分析等）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ST段监测必须精准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5A52FD8B">
            <w:pPr>
              <w:widowControl w:val="0"/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滤波：提供多种滤波模式，确保手术电刀干扰下仍能获取可分析的心电波形。</w:t>
            </w:r>
          </w:p>
          <w:p w14:paraId="3DC3FF1A">
            <w:pPr>
              <w:widowControl w:val="0"/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无创血压：</w:t>
            </w:r>
          </w:p>
          <w:p w14:paraId="26841C74">
            <w:pPr>
              <w:widowControl w:val="0"/>
              <w:numPr>
                <w:ilvl w:val="0"/>
                <w:numId w:val="5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测量方式：振荡法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571556DD">
            <w:pPr>
              <w:widowControl w:val="0"/>
              <w:numPr>
                <w:ilvl w:val="0"/>
                <w:numId w:val="5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测量模式：手动、自动（间隔可设）、快速序列测量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01175A4A">
            <w:pPr>
              <w:widowControl w:val="0"/>
              <w:numPr>
                <w:ilvl w:val="0"/>
                <w:numId w:val="5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测量范围：</w:t>
            </w:r>
          </w:p>
          <w:p w14:paraId="46EB02AA">
            <w:pPr>
              <w:widowControl w:val="0"/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收缩压： 40 - 270 mmHg</w:t>
            </w:r>
          </w:p>
          <w:p w14:paraId="6D52EA14">
            <w:pPr>
              <w:widowControl w:val="0"/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舒张压： 20 - 220 mmHg</w:t>
            </w:r>
          </w:p>
          <w:p w14:paraId="2DAEDF4E">
            <w:pPr>
              <w:widowControl w:val="0"/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平均压： 30 - 240 mmHg</w:t>
            </w:r>
          </w:p>
          <w:p w14:paraId="68485C30">
            <w:pPr>
              <w:widowControl w:val="0"/>
              <w:numPr>
                <w:ilvl w:val="0"/>
                <w:numId w:val="5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适用人群： 成人、小儿、新生儿模式（自动识别或手动选择）。</w:t>
            </w:r>
          </w:p>
          <w:p w14:paraId="10112FA1">
            <w:pPr>
              <w:widowControl w:val="0"/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2.2.3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脉搏血氧饱和度：</w:t>
            </w:r>
          </w:p>
          <w:p w14:paraId="0196941C">
            <w:pPr>
              <w:widowControl w:val="0"/>
              <w:numPr>
                <w:ilvl w:val="0"/>
                <w:numId w:val="6"/>
              </w:numPr>
              <w:ind w:left="454" w:leftChars="0" w:firstLine="113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参数：SpO₂, 脉率(PR), 灌注指数(PI)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09BDF33A">
            <w:pPr>
              <w:widowControl w:val="0"/>
              <w:numPr>
                <w:ilvl w:val="0"/>
                <w:numId w:val="6"/>
              </w:numPr>
              <w:ind w:left="454" w:leftChars="0" w:firstLine="113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SpO₂范围：0% - 100% (显示分辨率1%)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6DDC392A">
            <w:pPr>
              <w:widowControl w:val="0"/>
              <w:numPr>
                <w:ilvl w:val="0"/>
                <w:numId w:val="6"/>
              </w:numPr>
              <w:ind w:left="454" w:leftChars="0" w:firstLine="113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测量范围：适用于低灌注（PI显示有助于判断信号可靠性）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4745B9AD">
            <w:pPr>
              <w:widowControl w:val="0"/>
              <w:numPr>
                <w:ilvl w:val="0"/>
                <w:numId w:val="6"/>
              </w:numPr>
              <w:ind w:left="869" w:leftChars="0" w:hanging="30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抗运动灌注：具备先进抗运动伪差和低灌注信号提取算法（如Masimo SET/rainbow技术或其等效国产先进技术）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5D5636B1">
            <w:pPr>
              <w:widowControl w:val="0"/>
              <w:numPr>
                <w:ilvl w:val="0"/>
                <w:numId w:val="6"/>
              </w:numPr>
              <w:ind w:left="454" w:leftChars="0" w:firstLine="113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探头兼容：支持可重复消毒探头或一次性探头（成人、小儿、新生儿）。</w:t>
            </w:r>
          </w:p>
          <w:p w14:paraId="34F55BC6">
            <w:pPr>
              <w:widowControl w:val="0"/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2.2.4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呼吸：</w:t>
            </w:r>
          </w:p>
          <w:p w14:paraId="26B9BF38">
            <w:pPr>
              <w:widowControl w:val="0"/>
              <w:numPr>
                <w:ilvl w:val="0"/>
                <w:numId w:val="7"/>
              </w:numPr>
              <w:ind w:left="454" w:leftChars="0" w:firstLine="113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参数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：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呼吸率(RR)。</w:t>
            </w:r>
          </w:p>
          <w:p w14:paraId="246EE5F9">
            <w:pPr>
              <w:widowControl w:val="0"/>
              <w:numPr>
                <w:ilvl w:val="0"/>
                <w:numId w:val="7"/>
              </w:numPr>
              <w:ind w:left="612" w:leftChars="177" w:hanging="240" w:hanging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测量方式：通过阻抗法（心电导联）和/或主流/旁流呼吸气体监测模块（见下文）获取。</w:t>
            </w:r>
          </w:p>
          <w:p w14:paraId="3955F27B">
            <w:pPr>
              <w:widowControl w:val="0"/>
              <w:numPr>
                <w:ilvl w:val="0"/>
                <w:numId w:val="7"/>
              </w:numPr>
              <w:ind w:left="454" w:leftChars="0" w:firstLine="113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窒息报警：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可靠，屏幕文字显示信息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  <w:p w14:paraId="5F2D0356">
            <w:pPr>
              <w:widowControl w:val="0"/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2.2.5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体温监测：</w:t>
            </w:r>
          </w:p>
          <w:p w14:paraId="309ED3AC">
            <w:pPr>
              <w:widowControl w:val="0"/>
              <w:numPr>
                <w:ilvl w:val="0"/>
                <w:numId w:val="8"/>
              </w:numPr>
              <w:ind w:left="612" w:leftChars="177" w:hanging="240" w:hanging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通道数：≥2个独立体温通道（满足同时监测核心温度+体表温度需求，如食道/鼻咽+皮肤/膀胱/直肠）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484DC20A">
            <w:pPr>
              <w:widowControl w:val="0"/>
              <w:numPr>
                <w:ilvl w:val="0"/>
                <w:numId w:val="8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探头类型：兼容通用标准体温探头（如YSI 400系列或其兼容探头）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0B005FF0">
            <w:pPr>
              <w:widowControl w:val="0"/>
              <w:numPr>
                <w:ilvl w:val="0"/>
                <w:numId w:val="8"/>
              </w:numPr>
              <w:ind w:left="612" w:leftChars="177" w:hanging="240" w:hanging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测量部位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：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可设置不同部位（如食道、直肠、膀胱、鼻咽、腋下、皮肤等）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4CC2861C">
            <w:pPr>
              <w:widowControl w:val="0"/>
              <w:numPr>
                <w:ilvl w:val="0"/>
                <w:numId w:val="8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测量范围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：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至少 20°C - 45°C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4ACAFA55">
            <w:pPr>
              <w:widowControl w:val="0"/>
              <w:numPr>
                <w:ilvl w:val="0"/>
                <w:numId w:val="8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分辨率：0.1°C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45A6B122">
            <w:pPr>
              <w:widowControl w:val="0"/>
              <w:numPr>
                <w:ilvl w:val="0"/>
                <w:numId w:val="8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温差计算：部分机型支持显示两个通道间的温差（如核心-皮肤温差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）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  <w:p w14:paraId="65B42775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2.3核心高级监测参数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：</w:t>
            </w:r>
          </w:p>
          <w:p w14:paraId="39F003BB">
            <w:pPr>
              <w:widowControl w:val="0"/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2.3.1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有创血压监测：</w:t>
            </w:r>
          </w:p>
          <w:p w14:paraId="396B2D2C">
            <w:pPr>
              <w:widowControl w:val="0"/>
              <w:numPr>
                <w:ilvl w:val="0"/>
                <w:numId w:val="9"/>
              </w:numPr>
              <w:ind w:left="612" w:leftChars="177" w:hanging="240" w:hanging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通道数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：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≥2个独立的有创血压通道 (满足同时监测动脉压+中心静脉压)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25E2598E">
            <w:pPr>
              <w:widowControl w:val="0"/>
              <w:numPr>
                <w:ilvl w:val="0"/>
                <w:numId w:val="9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参数：收缩压(IBP Sys), 舒张压(IBP Dia), 平均压(IBP Mean)， 实时波形显示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07511B9A">
            <w:pPr>
              <w:widowControl w:val="0"/>
              <w:numPr>
                <w:ilvl w:val="0"/>
                <w:numId w:val="9"/>
              </w:numPr>
              <w:ind w:left="425" w:leftChars="0" w:firstLine="142" w:firstLineChars="0"/>
              <w:jc w:val="both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测量范围：每个通道可独立设置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65CDB8B8">
            <w:pPr>
              <w:widowControl w:val="0"/>
              <w:numPr>
                <w:ilvl w:val="0"/>
                <w:numId w:val="9"/>
              </w:numPr>
              <w:ind w:left="425" w:leftChars="0" w:firstLine="142" w:firstLineChars="0"/>
              <w:jc w:val="both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精度：高精度传感器（或支持连接外部传感器），具备自动调零和校零提示功能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2D565F16">
            <w:pPr>
              <w:widowControl w:val="0"/>
              <w:numPr>
                <w:ilvl w:val="0"/>
                <w:numId w:val="9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标尺/缩放：波形幅度和标尺可调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6FEA7104">
            <w:pPr>
              <w:widowControl w:val="0"/>
              <w:numPr>
                <w:ilvl w:val="0"/>
                <w:numId w:val="9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抗干扰：管路和传感器具备良好的抗干扰性能（尤其抗电刀）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724B2FEC">
            <w:pPr>
              <w:widowControl w:val="0"/>
              <w:numPr>
                <w:ilvl w:val="0"/>
                <w:numId w:val="9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阻尼/冲洗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：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可进行阻尼调整和管路冲洗（手动或快速冲洗）。</w:t>
            </w:r>
          </w:p>
          <w:p w14:paraId="0316A2E3">
            <w:pPr>
              <w:widowControl w:val="0"/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2.3.2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呼气末二氧化碳：</w:t>
            </w:r>
          </w:p>
          <w:p w14:paraId="4319A5AE">
            <w:pPr>
              <w:widowControl w:val="0"/>
              <w:numPr>
                <w:ilvl w:val="0"/>
                <w:numId w:val="10"/>
              </w:numPr>
              <w:ind w:left="852" w:leftChars="0" w:hanging="285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参数：呼气末二氧化碳分压/浓度(PetCO₂/EtCO₂%)，二氧化碳波形(Capnography)， 呼吸频率(RR)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064260C2">
            <w:pPr>
              <w:widowControl w:val="0"/>
              <w:numPr>
                <w:ilvl w:val="0"/>
                <w:numId w:val="10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测量方式：主流式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2DB0CA30">
            <w:pPr>
              <w:widowControl w:val="0"/>
              <w:numPr>
                <w:ilvl w:val="0"/>
                <w:numId w:val="10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测量范围：PetCO₂: 0 - 150 mmHg (或0 - 20 kPa)； EtCO₂%: 0 - 15%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4F0A860E">
            <w:pPr>
              <w:widowControl w:val="0"/>
              <w:numPr>
                <w:ilvl w:val="0"/>
                <w:numId w:val="10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波形显示：清晰显示实时二氧化碳波形图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  </w:t>
            </w:r>
          </w:p>
          <w:p w14:paraId="389C8300">
            <w:pPr>
              <w:widowControl w:val="0"/>
              <w:numPr>
                <w:ilvl w:val="0"/>
                <w:numId w:val="10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趋势：提供数值和波形趋势回顾。</w:t>
            </w:r>
          </w:p>
          <w:p w14:paraId="359A2DDC">
            <w:pPr>
              <w:widowControl w:val="0"/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2.3.3报警系统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：</w:t>
            </w:r>
          </w:p>
          <w:p w14:paraId="1FA76571">
            <w:pPr>
              <w:widowControl w:val="0"/>
              <w:numPr>
                <w:ilvl w:val="0"/>
                <w:numId w:val="11"/>
              </w:numPr>
              <w:ind w:left="612" w:leftChars="177" w:hanging="240" w:hanging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报警参数：覆盖所有监测参数（ECG各报警、NIBP/IBP高低限、SpO₂高低限、RR高低限及窒息、Temp高低限、EtCO₂高低限及无信号、麻醉气体高低限、各通道信号丢失/导联脱落/探头脱落等）。</w:t>
            </w:r>
          </w:p>
          <w:p w14:paraId="2F6D6FF2">
            <w:pPr>
              <w:widowControl w:val="0"/>
              <w:numPr>
                <w:ilvl w:val="0"/>
                <w:numId w:val="11"/>
              </w:numPr>
              <w:ind w:left="425" w:leftChars="0" w:firstLine="142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报警级别：高中低三级报警，声光报警明确区分（音量可调，光闪颜色不同）。</w:t>
            </w:r>
          </w:p>
          <w:p w14:paraId="568E0C5D">
            <w:pPr>
              <w:widowControl w:val="0"/>
              <w:numPr>
                <w:ilvl w:val="0"/>
                <w:numId w:val="11"/>
              </w:numPr>
              <w:ind w:left="864" w:leftChars="0" w:hanging="297" w:firstLineChars="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报警延迟：关键报警（如室颤、窒息、SpO₂极低）应瞬时报警；部分参数可设置合理延迟（如几秒）。</w:t>
            </w:r>
          </w:p>
          <w:p w14:paraId="68FAB7CC">
            <w:pPr>
              <w:widowControl w:val="0"/>
              <w:numPr>
                <w:ilvl w:val="0"/>
                <w:numId w:val="11"/>
              </w:numPr>
              <w:ind w:left="612" w:leftChars="177" w:hanging="240" w:hanging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报警设置：各参数报警上下限可灵活设置，具备智能报警抑制/延迟功能（如吸痰时短暂抑制SpO₂低报警）。</w:t>
            </w:r>
          </w:p>
          <w:p w14:paraId="4270D6E0">
            <w:pPr>
              <w:widowControl w:val="0"/>
              <w:numPr>
                <w:ilvl w:val="0"/>
                <w:numId w:val="11"/>
              </w:numPr>
              <w:ind w:left="612" w:leftChars="177" w:hanging="240" w:hanging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报警事件记录：详细记录报警发生时间、参数、值、报警级别、持续时间、操作员处理（如暂停/确认）。</w:t>
            </w:r>
          </w:p>
          <w:p w14:paraId="6FBDB9E6">
            <w:pPr>
              <w:widowControl w:val="0"/>
              <w:numPr>
                <w:ilvl w:val="0"/>
                <w:numId w:val="11"/>
              </w:numPr>
              <w:ind w:left="612" w:leftChars="177" w:hanging="240" w:hangingChars="100"/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声光强度：报警声音响亮清晰可辨（≥80dB），光闪醒目。具备夜间模式降低亮度/音量。</w:t>
            </w:r>
          </w:p>
          <w:p w14:paraId="54D2BBF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2.3.4连续性与集成性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：</w:t>
            </w:r>
          </w:p>
          <w:p w14:paraId="3DDE96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12" w:leftChars="177" w:hanging="240" w:hanging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网络：标配以太网接口，支持HL7、DICOM等协议，便于接入医院HIS/PACS系统和麻醉临床信息系统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454E05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firstLine="142" w:firstLine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USB：≥2个USB端口（用于数据导出、软件升级、连接外设如键盘）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68737D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firstLine="142" w:firstLine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扩展槽/端口：用于连接未来可能的扩展模块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095C4B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12" w:leftChars="177" w:hanging="240" w:hanging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中央站支持：支持通过有线/无线网络连接至中央监护站，实现多床位集中监控（需医院有中央站系统）。</w:t>
            </w:r>
          </w:p>
          <w:p w14:paraId="69AE46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2.3.5物理特性与可靠性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：</w:t>
            </w:r>
          </w:p>
          <w:p w14:paraId="33DBEB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firstLine="142" w:firstLine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电源：交直流两用。内置高容量可充电电池，续航时间≥3小时。</w:t>
            </w:r>
          </w:p>
          <w:p w14:paraId="2C756D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firstLine="142" w:firstLine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防护等级：达到或超过IPX1（防垂直滴水）。</w:t>
            </w:r>
          </w:p>
          <w:p w14:paraId="5CE748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firstLine="142" w:firstLine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移动性：配备灵活稳固的推车或吊臂支架接口。</w:t>
            </w:r>
          </w:p>
          <w:p w14:paraId="2FF93B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firstLine="142" w:firstLine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模块化设计：参数模块（如NIBP、SpO₂、IBP、Temp、气体）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  <w:p w14:paraId="68889CD8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三、</w:t>
            </w:r>
            <w:r>
              <w:rPr>
                <w:rFonts w:hint="eastAsia"/>
                <w:b/>
                <w:bCs/>
                <w:color w:val="auto"/>
                <w:sz w:val="24"/>
              </w:rPr>
              <w:t>配置要求：</w:t>
            </w:r>
          </w:p>
          <w:p w14:paraId="56AB3B93">
            <w:pPr>
              <w:widowControl w:val="0"/>
              <w:numPr>
                <w:ilvl w:val="0"/>
                <w:numId w:val="0"/>
              </w:numPr>
              <w:ind w:leftChars="0" w:firstLine="48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监护仪主机、体温探头、有创监测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val="en-US" w:eastAsia="zh-CN"/>
              </w:rPr>
              <w:t>等各种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连接线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eastAsia="zh-CN"/>
              </w:rPr>
              <w:t>。</w:t>
            </w:r>
          </w:p>
          <w:p w14:paraId="2C4E0F1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lang w:val="en-US" w:eastAsia="zh-CN"/>
              </w:rPr>
              <w:t>四、满足临床科研要求，能提取保存的各种数据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lang w:val="en-US" w:eastAsia="zh-CN"/>
              </w:rPr>
              <w:t>。</w:t>
            </w:r>
          </w:p>
          <w:p w14:paraId="4FC63A41">
            <w:pPr>
              <w:numPr>
                <w:ilvl w:val="0"/>
                <w:numId w:val="0"/>
              </w:numPr>
              <w:ind w:leftChars="0"/>
              <w:rPr>
                <w:rFonts w:hint="eastAsia" w:eastAsia="仿宋_GB2312"/>
                <w:b w:val="0"/>
                <w:bCs w:val="0"/>
                <w:color w:val="FF0000"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  <w:t>五、售后服务</w:t>
            </w:r>
            <w:r>
              <w:rPr>
                <w:rFonts w:hint="eastAsia"/>
                <w:b/>
                <w:bCs/>
                <w:color w:val="auto"/>
                <w:sz w:val="24"/>
              </w:rPr>
              <w:t>：</w:t>
            </w:r>
          </w:p>
          <w:p w14:paraId="2E3B44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5.1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保修期：≥3年整机保修（核心部件如屏幕、主板应更长）。</w:t>
            </w:r>
          </w:p>
          <w:p w14:paraId="60D8D6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5.2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响应时间：明确现场服务响应时间（如市区≤4小时，24小时工程师支持）。</w:t>
            </w:r>
          </w:p>
          <w:p w14:paraId="2F0D7F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5.3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备件供应：常用备件本地库存储备。 </w:t>
            </w:r>
          </w:p>
          <w:p w14:paraId="6EC6A5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5.4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培训支持：提供操作及灭菌培训。</w:t>
            </w:r>
          </w:p>
        </w:tc>
      </w:tr>
    </w:tbl>
    <w:p w14:paraId="40EBB29E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 w14:paraId="5C7C4C3A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</w:p>
    <w:p w14:paraId="06E09A88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 w14:paraId="372C5BBD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 w14:paraId="701C46E6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 w14:paraId="614FB1A9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 w14:paraId="0FF39BE1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 w14:paraId="5E0D7777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 w14:paraId="3036C1EB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 w14:paraId="44EB3F84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 w14:paraId="42647B5E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 w14:paraId="239C1584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 w14:paraId="24AA043F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 w14:paraId="1458B045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 w14:paraId="0EAE4118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 w14:paraId="7591AFBB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 w14:paraId="051E8E46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735EC2A0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18B917D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ind w:leftChars="0"/>
        <w:jc w:val="left"/>
        <w:rPr>
          <w:rFonts w:hint="eastAsia"/>
          <w:b/>
          <w:bCs w:val="0"/>
          <w:color w:val="000000"/>
          <w:sz w:val="24"/>
          <w:szCs w:val="24"/>
          <w:lang w:val="en-US" w:eastAsia="zh-CN"/>
        </w:rPr>
      </w:pPr>
      <w:r>
        <w:rPr>
          <w:rFonts w:hint="eastAsia"/>
          <w:b/>
          <w:bCs w:val="0"/>
          <w:color w:val="000000"/>
          <w:sz w:val="24"/>
          <w:szCs w:val="24"/>
          <w:lang w:val="en-US" w:eastAsia="zh-CN"/>
        </w:rPr>
        <w:t>二、高频电刀（单极）</w:t>
      </w:r>
    </w:p>
    <w:p w14:paraId="3302C681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default"/>
          <w:b/>
          <w:bCs w:val="0"/>
          <w:color w:val="000000"/>
          <w:sz w:val="24"/>
          <w:szCs w:val="24"/>
          <w:lang w:val="en-US" w:eastAsia="zh-CN"/>
        </w:rPr>
      </w:pPr>
    </w:p>
    <w:p w14:paraId="3B182777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default"/>
          <w:b/>
          <w:bCs w:val="0"/>
          <w:color w:val="000000"/>
          <w:sz w:val="24"/>
          <w:szCs w:val="24"/>
          <w:lang w:val="en-US" w:eastAsia="zh-CN"/>
        </w:rPr>
      </w:pPr>
    </w:p>
    <w:tbl>
      <w:tblPr>
        <w:tblStyle w:val="15"/>
        <w:tblW w:w="10857" w:type="dxa"/>
        <w:tblInd w:w="-1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9265"/>
      </w:tblGrid>
      <w:tr w14:paraId="57500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8" w:hRule="atLeast"/>
        </w:trPr>
        <w:tc>
          <w:tcPr>
            <w:tcW w:w="1592" w:type="dxa"/>
            <w:vAlign w:val="center"/>
          </w:tcPr>
          <w:p w14:paraId="4F0FD7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设备名称</w:t>
            </w:r>
          </w:p>
        </w:tc>
        <w:tc>
          <w:tcPr>
            <w:tcW w:w="9265" w:type="dxa"/>
            <w:vAlign w:val="center"/>
          </w:tcPr>
          <w:p w14:paraId="55FB3A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高频电刀（单极)</w:t>
            </w:r>
          </w:p>
        </w:tc>
      </w:tr>
      <w:tr w14:paraId="51FB1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9" w:hRule="atLeast"/>
        </w:trPr>
        <w:tc>
          <w:tcPr>
            <w:tcW w:w="1592" w:type="dxa"/>
            <w:vAlign w:val="center"/>
          </w:tcPr>
          <w:p w14:paraId="025DFDCF">
            <w:pPr>
              <w:spacing w:line="360" w:lineRule="auto"/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技术参数</w:t>
            </w:r>
          </w:p>
          <w:p w14:paraId="44F86851">
            <w:pPr>
              <w:spacing w:line="360" w:lineRule="auto"/>
              <w:jc w:val="center"/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清单</w:t>
            </w:r>
          </w:p>
        </w:tc>
        <w:tc>
          <w:tcPr>
            <w:tcW w:w="9265" w:type="dxa"/>
          </w:tcPr>
          <w:p w14:paraId="5F29719C">
            <w:pPr>
              <w:numPr>
                <w:ilvl w:val="0"/>
                <w:numId w:val="14"/>
              </w:numPr>
              <w:ind w:left="0" w:leftChars="0" w:firstLine="0" w:firstLineChars="0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设备应用场景：</w:t>
            </w:r>
          </w:p>
          <w:p w14:paraId="50CEC6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主要适用于手术室、日间手术中心、内镜室、急诊处置室及部分专科门诊等医疗场景，用于外科手术中对人体组织进行切割、凝血、消融及精细电外科操作。</w:t>
            </w:r>
          </w:p>
          <w:p w14:paraId="313861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103C55DF">
            <w:pPr>
              <w:numPr>
                <w:ilvl w:val="0"/>
                <w:numId w:val="14"/>
              </w:numPr>
              <w:ind w:left="0" w:leftChars="0" w:firstLine="0" w:firstLineChars="0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主要参数：</w:t>
            </w:r>
          </w:p>
          <w:p w14:paraId="79F661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腔镜电勾及电凝线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：</w:t>
            </w:r>
            <w:r>
              <w:rPr>
                <w:rFonts w:hint="default" w:ascii="宋体" w:hAnsi="宋体" w:eastAsia="宋体" w:cstheme="minorBidi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采用通用接口设计</w:t>
            </w:r>
            <w:r>
              <w:rPr>
                <w:rFonts w:hint="eastAsia" w:ascii="宋体" w:hAnsi="宋体" w:eastAsia="宋体" w:cstheme="minorBidi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  <w:p w14:paraId="6C923B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核心功能：</w:t>
            </w:r>
          </w:p>
          <w:p w14:paraId="1B1703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2.1.1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集成单极切割、凝血、混切功能于同一主机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1F1F60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2.1.2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具备组织阻抗监测与自适应功率输出功能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4E250B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2.1.3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具备完善安全报警系统（负极板接触质量监测报警、回路故障报警、功率超限报警、设备自检报警等）。</w:t>
            </w:r>
          </w:p>
          <w:p w14:paraId="46F68C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单极性能：</w:t>
            </w:r>
          </w:p>
          <w:p w14:paraId="720E33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切割功率范围：最大切割功率 ≥ 300W（纯切）。</w:t>
            </w:r>
          </w:p>
          <w:p w14:paraId="1C5B9B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2.2.2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凝血功率范围：最大凝血功率 ≥ 120W（喷凝），提供多种凝血模式（如：柔和凝、强力凝、点凝、喷凝等）。</w:t>
            </w:r>
          </w:p>
          <w:p w14:paraId="539659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2.3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双极凝血模式（≥2种）</w:t>
            </w:r>
          </w:p>
          <w:p w14:paraId="3A72B9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2.3.1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宏双极：大血管结扎术，可安全闭合7mm以下动静脉，系统自动停止输出</w:t>
            </w:r>
          </w:p>
          <w:p w14:paraId="78428D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2.3.2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微双极/精确：高精度凝血</w:t>
            </w:r>
          </w:p>
          <w:p w14:paraId="444D43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2.3.3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双极强凝：快速凝血模式</w:t>
            </w:r>
          </w:p>
          <w:p w14:paraId="1F6E79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2.4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通用性能：</w:t>
            </w:r>
          </w:p>
          <w:p w14:paraId="2258C3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2.4.1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可靠性：平均无故障时间（MTBF）长，故障率低。</w:t>
            </w:r>
          </w:p>
          <w:p w14:paraId="0C08E1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2.4.2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易用性：参数设置直观、快捷。</w:t>
            </w:r>
          </w:p>
          <w:p w14:paraId="694F6C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2.4.3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稳定性：输出功率精准、稳定。</w:t>
            </w:r>
          </w:p>
          <w:p w14:paraId="471C09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2.4.4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电磁兼容性（EMC）：符合国家标准，不对其他设备产生干扰。</w:t>
            </w:r>
          </w:p>
          <w:p w14:paraId="67E87A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2.5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电气安全：</w:t>
            </w:r>
          </w:p>
          <w:p w14:paraId="31C095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2.5.1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符合最新版国家医用电气设备安全标准（GB 9706.1）及相关专用标准（如GB 9706.4）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4FE862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2.5.2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具备CE认证或NMPA注册证（国内上市许可）。</w:t>
            </w:r>
          </w:p>
          <w:p w14:paraId="56E9AB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2.6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物理规格：</w:t>
            </w:r>
          </w:p>
          <w:p w14:paraId="6F04DD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2.6.1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主机尺寸与重量：适合手术室空间及移动需求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24DE58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2.6.2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工作环境：满足手术室温湿度要求（如：温度10°C - 40°C，相对湿度30% - 65%）。</w:t>
            </w:r>
          </w:p>
          <w:p w14:paraId="775D48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2.7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连接与接口：</w:t>
            </w:r>
          </w:p>
          <w:p w14:paraId="263B4A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2.7.1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手控笔接口：通用标准接口，兼容主流品牌耗材（或指定接口类型）</w:t>
            </w:r>
          </w:p>
          <w:p w14:paraId="0B191C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2.7.2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负极板接口：标准接口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  <w:p w14:paraId="20BBA5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2.8其他要求：</w:t>
            </w:r>
          </w:p>
          <w:p w14:paraId="144D5D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eastAsia" w:ascii="宋体" w:hAnsi="宋体" w:eastAsia="宋体" w:cstheme="minorBidi"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2.8.1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兼容常用的一次性负极板及电刀笔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  <w:p w14:paraId="3B124B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58" w:leftChars="75" w:firstLine="0" w:firstLineChars="0"/>
              <w:textAlignment w:val="auto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2.8.2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负极板接触质量实时监测：检测到极板接触面积过小或故障时，发出语音报警并停止输出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  <w:p w14:paraId="6ADB014B">
            <w:pPr>
              <w:numPr>
                <w:ilvl w:val="0"/>
                <w:numId w:val="14"/>
              </w:numPr>
              <w:ind w:left="0" w:leftChars="0" w:firstLine="0" w:firstLineChars="0"/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  <w:t>配置要求：</w:t>
            </w:r>
          </w:p>
          <w:p w14:paraId="6E11DC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3.1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主机：1台</w:t>
            </w:r>
          </w:p>
          <w:p w14:paraId="1D9F58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3.1.1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集成单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双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极输出模块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421DDA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3.1.2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彩色触摸显示屏，中英文操作界面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44D8E5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3.1.3手控/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足踏控制接口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任意切换。</w:t>
            </w:r>
          </w:p>
          <w:p w14:paraId="659D5C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3.2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放置高频电刀的台车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：2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辆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.</w:t>
            </w:r>
          </w:p>
          <w:p w14:paraId="18E461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3.3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基础配件：</w:t>
            </w:r>
          </w:p>
          <w:p w14:paraId="71A993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3.3.1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电源线：1根</w:t>
            </w:r>
          </w:p>
          <w:p w14:paraId="4EB698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3.3.2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设备推车：1套</w:t>
            </w:r>
          </w:p>
          <w:p w14:paraId="06F9B5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3.3.3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操作手册（中文）：1份</w:t>
            </w:r>
          </w:p>
          <w:p w14:paraId="1F29A0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3.3.4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基本维修工具包（若有）： 1套 </w:t>
            </w:r>
          </w:p>
          <w:p w14:paraId="2E9E3B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3.4单极组件：</w:t>
            </w:r>
          </w:p>
          <w:p w14:paraId="5678DE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3.4.1单极手控笔（含切割、凝血按键）：至少2把 ；</w:t>
            </w:r>
          </w:p>
          <w:p w14:paraId="687DA1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3.4.2单极回路负极板（可重复使用或一次性）：至少2块。</w:t>
            </w:r>
          </w:p>
          <w:p w14:paraId="2C5A8B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3.4.3负极板连接电缆 ≥5根 </w:t>
            </w:r>
          </w:p>
          <w:p w14:paraId="496B65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eastAsia" w:ascii="宋体" w:hAnsi="宋体" w:eastAsia="宋体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3.5文档资料：</w:t>
            </w:r>
          </w:p>
          <w:p w14:paraId="13DC65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提供完整的中文技术文档（说明书、维修手册等）。</w:t>
            </w:r>
          </w:p>
          <w:p w14:paraId="5136A080">
            <w:pPr>
              <w:numPr>
                <w:ilvl w:val="0"/>
                <w:numId w:val="14"/>
              </w:numPr>
              <w:ind w:left="0" w:leftChars="0" w:firstLine="0" w:firstLineChars="0"/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  <w:t>售后服务：</w:t>
            </w:r>
          </w:p>
          <w:p w14:paraId="19E188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4.1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提供至少</w:t>
            </w: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年整机（含核心部件）原厂质保。</w:t>
            </w:r>
          </w:p>
          <w:p w14:paraId="40CCA4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4.2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提供及时有效的本地化技术支持与维修服务（明确响应时间要求，如24/48小时）。</w:t>
            </w:r>
          </w:p>
          <w:p w14:paraId="5662A8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4.3</w:t>
            </w:r>
            <w:r>
              <w:rPr>
                <w:rFonts w:hint="default" w:ascii="宋体" w:hAnsi="宋体" w:eastAsia="宋体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提供操作培训（现场培训次数要求，如至少1次）。</w:t>
            </w:r>
          </w:p>
        </w:tc>
      </w:tr>
    </w:tbl>
    <w:p w14:paraId="4EFC26E2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default"/>
          <w:b/>
          <w:bCs w:val="0"/>
          <w:color w:val="000000"/>
          <w:sz w:val="24"/>
          <w:szCs w:val="24"/>
          <w:lang w:val="en-US" w:eastAsia="zh-CN"/>
        </w:rPr>
      </w:pPr>
    </w:p>
    <w:p w14:paraId="49B8FC2A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default"/>
          <w:b/>
          <w:bCs w:val="0"/>
          <w:color w:val="000000"/>
          <w:sz w:val="24"/>
          <w:szCs w:val="24"/>
          <w:lang w:val="en-US" w:eastAsia="zh-CN"/>
        </w:rPr>
      </w:pPr>
    </w:p>
    <w:p w14:paraId="09079F87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default"/>
          <w:b/>
          <w:bCs w:val="0"/>
          <w:color w:val="000000"/>
          <w:sz w:val="24"/>
          <w:szCs w:val="24"/>
          <w:lang w:val="en-US" w:eastAsia="zh-CN"/>
        </w:rPr>
      </w:pPr>
    </w:p>
    <w:p w14:paraId="6BE4464D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default"/>
          <w:b/>
          <w:bCs w:val="0"/>
          <w:color w:val="000000"/>
          <w:sz w:val="24"/>
          <w:szCs w:val="24"/>
          <w:lang w:val="en-US" w:eastAsia="zh-CN"/>
        </w:rPr>
      </w:pPr>
    </w:p>
    <w:p w14:paraId="3B3F286E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rPr>
          <w:rFonts w:hint="default"/>
          <w:b/>
          <w:bCs w:val="0"/>
          <w:color w:val="000000"/>
          <w:sz w:val="24"/>
          <w:szCs w:val="24"/>
          <w:lang w:val="en-US" w:eastAsia="zh-CN"/>
        </w:rPr>
      </w:pPr>
    </w:p>
    <w:p w14:paraId="2C6DBDB0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4E39C273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5DCE558D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412FA39C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7997ED8C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6175A810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255FEB30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60E5B137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355A418A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0C8359B5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58295D4F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3236DC8F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48741575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3981B327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8B3851F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034E6ACF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7A9603C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775413E8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422D94FF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cs="宋体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cs="宋体"/>
          <w:b/>
          <w:bCs/>
          <w:sz w:val="30"/>
          <w:szCs w:val="30"/>
          <w:lang w:val="en-US" w:eastAsia="zh-CN"/>
        </w:rPr>
        <w:t>附件4：技术参数偏离表（模板）</w:t>
      </w:r>
    </w:p>
    <w:p w14:paraId="19901C50"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cs="宋体"/>
          <w:b/>
          <w:bCs/>
          <w:sz w:val="30"/>
          <w:szCs w:val="30"/>
          <w:lang w:val="en-US" w:eastAsia="zh-CN"/>
        </w:rPr>
      </w:pPr>
    </w:p>
    <w:p w14:paraId="44770305"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cs="宋体"/>
          <w:b/>
          <w:bCs/>
          <w:sz w:val="30"/>
          <w:szCs w:val="30"/>
          <w:lang w:val="en-US" w:eastAsia="zh-CN"/>
        </w:rPr>
      </w:pPr>
      <w:r>
        <w:rPr>
          <w:rFonts w:hint="default" w:cs="宋体"/>
          <w:b/>
          <w:bCs/>
          <w:sz w:val="30"/>
          <w:szCs w:val="30"/>
          <w:lang w:val="en-US" w:eastAsia="zh-CN"/>
        </w:rPr>
        <w:t>技术参数响应及偏离表</w:t>
      </w:r>
    </w:p>
    <w:p w14:paraId="5074C8C5"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cs="宋体"/>
          <w:b w:val="0"/>
          <w:bCs w:val="0"/>
          <w:sz w:val="28"/>
          <w:szCs w:val="28"/>
          <w:lang w:val="en-US" w:eastAsia="zh-CN"/>
        </w:rPr>
        <w:t>(由投标人据实</w:t>
      </w:r>
      <w:r>
        <w:rPr>
          <w:rFonts w:hint="eastAsia" w:cs="宋体"/>
          <w:b w:val="0"/>
          <w:bCs w:val="0"/>
          <w:sz w:val="28"/>
          <w:szCs w:val="28"/>
          <w:lang w:val="en-US" w:eastAsia="zh-CN"/>
        </w:rPr>
        <w:t>填写</w:t>
      </w:r>
      <w:r>
        <w:rPr>
          <w:rFonts w:hint="default" w:cs="宋体"/>
          <w:b w:val="0"/>
          <w:bCs w:val="0"/>
          <w:sz w:val="28"/>
          <w:szCs w:val="28"/>
          <w:lang w:val="en-US" w:eastAsia="zh-CN"/>
        </w:rPr>
        <w:t>)</w:t>
      </w:r>
    </w:p>
    <w:tbl>
      <w:tblPr>
        <w:tblStyle w:val="15"/>
        <w:tblW w:w="11101" w:type="dxa"/>
        <w:tblInd w:w="-1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950"/>
        <w:gridCol w:w="1977"/>
        <w:gridCol w:w="2904"/>
        <w:gridCol w:w="2128"/>
        <w:gridCol w:w="1323"/>
      </w:tblGrid>
      <w:tr w14:paraId="58399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819" w:type="dxa"/>
            <w:vAlign w:val="center"/>
          </w:tcPr>
          <w:p w14:paraId="19E8C0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950" w:type="dxa"/>
            <w:vAlign w:val="center"/>
          </w:tcPr>
          <w:p w14:paraId="2DCFEF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招标产品要求参数</w:t>
            </w:r>
          </w:p>
        </w:tc>
        <w:tc>
          <w:tcPr>
            <w:tcW w:w="1977" w:type="dxa"/>
            <w:vAlign w:val="center"/>
          </w:tcPr>
          <w:p w14:paraId="034AA8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投标产品实际参数</w:t>
            </w:r>
          </w:p>
        </w:tc>
        <w:tc>
          <w:tcPr>
            <w:tcW w:w="2904" w:type="dxa"/>
            <w:vAlign w:val="center"/>
          </w:tcPr>
          <w:p w14:paraId="0D1F0A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产品实际参数证明材料</w:t>
            </w:r>
          </w:p>
          <w:p w14:paraId="1C0558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出处</w:t>
            </w:r>
            <w:r>
              <w:rPr>
                <w:rFonts w:hint="eastAsia" w:cs="宋体"/>
                <w:b w:val="0"/>
                <w:bCs w:val="0"/>
                <w:sz w:val="21"/>
                <w:szCs w:val="21"/>
                <w:lang w:val="en-US" w:eastAsia="zh-CN"/>
              </w:rPr>
              <w:t>及页码</w:t>
            </w:r>
          </w:p>
        </w:tc>
        <w:tc>
          <w:tcPr>
            <w:tcW w:w="2128" w:type="dxa"/>
            <w:vAlign w:val="center"/>
          </w:tcPr>
          <w:p w14:paraId="53447D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符合/正偏离/负偏离</w:t>
            </w:r>
          </w:p>
        </w:tc>
        <w:tc>
          <w:tcPr>
            <w:tcW w:w="1323" w:type="dxa"/>
            <w:vAlign w:val="center"/>
          </w:tcPr>
          <w:p w14:paraId="34158E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宋体"/>
                <w:b w:val="0"/>
                <w:bCs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7C15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475169C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2A9CE7E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781C266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1E5A8B2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445D18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6840B2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1908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39F762F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6AEF4F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7BD627F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7C7B74A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6303A5A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5C943C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405F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1B48C2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075CEB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766466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7E4C0A3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3041248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1DEA43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0E63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2348AB3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3341502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254C1C9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904" w:type="dxa"/>
          </w:tcPr>
          <w:p w14:paraId="2998745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3273617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3DD069F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5157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70162AA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4C442F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lang w:val="en-US" w:eastAsia="zh-CN"/>
              </w:rPr>
              <w:t>（根据需要自行增加行、列）</w:t>
            </w:r>
          </w:p>
        </w:tc>
        <w:tc>
          <w:tcPr>
            <w:tcW w:w="1977" w:type="dxa"/>
          </w:tcPr>
          <w:p w14:paraId="148F7E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904" w:type="dxa"/>
          </w:tcPr>
          <w:p w14:paraId="76CF4A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8" w:type="dxa"/>
          </w:tcPr>
          <w:p w14:paraId="3F38BE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23" w:type="dxa"/>
          </w:tcPr>
          <w:p w14:paraId="475AFBF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6A009724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B3F4E9D-70D0-4588-BE16-9CF9569B8198}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aiTi_GB2312">
    <w:altName w:val="楷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2" w:fontKey="{9753147D-3E17-456E-93B1-349692C255B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2908670-B6D0-4D01-887E-CB1E541192C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330490D-9EAA-4383-8AD4-941F82EA249D}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8F5628"/>
    <w:multiLevelType w:val="singleLevel"/>
    <w:tmpl w:val="8D8F562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2961002"/>
    <w:multiLevelType w:val="singleLevel"/>
    <w:tmpl w:val="B296100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09956E3"/>
    <w:multiLevelType w:val="singleLevel"/>
    <w:tmpl w:val="C09956E3"/>
    <w:lvl w:ilvl="0" w:tentative="0">
      <w:start w:val="1"/>
      <w:numFmt w:val="lowerLetter"/>
      <w:suff w:val="nothing"/>
      <w:lvlText w:val="%1."/>
      <w:lvlJc w:val="left"/>
      <w:pPr>
        <w:ind w:left="454" w:leftChars="0" w:firstLine="113" w:firstLineChars="0"/>
      </w:pPr>
      <w:rPr>
        <w:rFonts w:hint="default"/>
      </w:rPr>
    </w:lvl>
  </w:abstractNum>
  <w:abstractNum w:abstractNumId="3">
    <w:nsid w:val="F51EDFEF"/>
    <w:multiLevelType w:val="singleLevel"/>
    <w:tmpl w:val="F51EDFEF"/>
    <w:lvl w:ilvl="0" w:tentative="0">
      <w:start w:val="1"/>
      <w:numFmt w:val="lowerLetter"/>
      <w:suff w:val="nothing"/>
      <w:lvlText w:val="%1."/>
      <w:lvlJc w:val="left"/>
      <w:pPr>
        <w:ind w:left="425" w:firstLine="142"/>
      </w:pPr>
      <w:rPr>
        <w:rFonts w:hint="default"/>
      </w:rPr>
    </w:lvl>
  </w:abstractNum>
  <w:abstractNum w:abstractNumId="4">
    <w:nsid w:val="F779283F"/>
    <w:multiLevelType w:val="singleLevel"/>
    <w:tmpl w:val="F779283F"/>
    <w:lvl w:ilvl="0" w:tentative="0">
      <w:start w:val="1"/>
      <w:numFmt w:val="lowerLetter"/>
      <w:suff w:val="nothing"/>
      <w:lvlText w:val="%1."/>
      <w:lvlJc w:val="left"/>
      <w:pPr>
        <w:ind w:left="425" w:firstLine="142"/>
      </w:pPr>
      <w:rPr>
        <w:rFonts w:hint="default"/>
      </w:rPr>
    </w:lvl>
  </w:abstractNum>
  <w:abstractNum w:abstractNumId="5">
    <w:nsid w:val="F867B990"/>
    <w:multiLevelType w:val="singleLevel"/>
    <w:tmpl w:val="F867B990"/>
    <w:lvl w:ilvl="0" w:tentative="0">
      <w:start w:val="1"/>
      <w:numFmt w:val="lowerLetter"/>
      <w:suff w:val="nothing"/>
      <w:lvlText w:val="%1."/>
      <w:lvlJc w:val="left"/>
      <w:pPr>
        <w:ind w:left="425" w:firstLine="142"/>
      </w:pPr>
      <w:rPr>
        <w:rFonts w:hint="default"/>
      </w:rPr>
    </w:lvl>
  </w:abstractNum>
  <w:abstractNum w:abstractNumId="6">
    <w:nsid w:val="030E3052"/>
    <w:multiLevelType w:val="singleLevel"/>
    <w:tmpl w:val="030E3052"/>
    <w:lvl w:ilvl="0" w:tentative="0">
      <w:start w:val="1"/>
      <w:numFmt w:val="lowerLetter"/>
      <w:suff w:val="nothing"/>
      <w:lvlText w:val="%1."/>
      <w:lvlJc w:val="left"/>
      <w:pPr>
        <w:ind w:left="425" w:firstLine="142"/>
      </w:pPr>
      <w:rPr>
        <w:rFonts w:hint="default"/>
      </w:rPr>
    </w:lvl>
  </w:abstractNum>
  <w:abstractNum w:abstractNumId="7">
    <w:nsid w:val="050D456E"/>
    <w:multiLevelType w:val="singleLevel"/>
    <w:tmpl w:val="050D456E"/>
    <w:lvl w:ilvl="0" w:tentative="0">
      <w:start w:val="1"/>
      <w:numFmt w:val="lowerLetter"/>
      <w:suff w:val="nothing"/>
      <w:lvlText w:val="%1."/>
      <w:lvlJc w:val="left"/>
      <w:pPr>
        <w:ind w:left="425" w:firstLine="142"/>
      </w:pPr>
      <w:rPr>
        <w:rFonts w:hint="default"/>
      </w:rPr>
    </w:lvl>
  </w:abstractNum>
  <w:abstractNum w:abstractNumId="8">
    <w:nsid w:val="18F3596F"/>
    <w:multiLevelType w:val="singleLevel"/>
    <w:tmpl w:val="18F3596F"/>
    <w:lvl w:ilvl="0" w:tentative="0">
      <w:start w:val="1"/>
      <w:numFmt w:val="lowerLetter"/>
      <w:suff w:val="nothing"/>
      <w:lvlText w:val="%1."/>
      <w:lvlJc w:val="left"/>
      <w:pPr>
        <w:ind w:left="425" w:firstLine="142"/>
      </w:pPr>
      <w:rPr>
        <w:rFonts w:hint="default"/>
      </w:rPr>
    </w:lvl>
  </w:abstractNum>
  <w:abstractNum w:abstractNumId="9">
    <w:nsid w:val="2990DE9C"/>
    <w:multiLevelType w:val="singleLevel"/>
    <w:tmpl w:val="2990DE9C"/>
    <w:lvl w:ilvl="0" w:tentative="0">
      <w:start w:val="1"/>
      <w:numFmt w:val="lowerLetter"/>
      <w:suff w:val="nothing"/>
      <w:lvlText w:val="%1."/>
      <w:lvlJc w:val="left"/>
      <w:pPr>
        <w:ind w:left="425" w:firstLine="142"/>
      </w:pPr>
      <w:rPr>
        <w:rFonts w:hint="default"/>
      </w:rPr>
    </w:lvl>
  </w:abstractNum>
  <w:abstractNum w:abstractNumId="10">
    <w:nsid w:val="328D6ADD"/>
    <w:multiLevelType w:val="singleLevel"/>
    <w:tmpl w:val="328D6ADD"/>
    <w:lvl w:ilvl="0" w:tentative="0">
      <w:start w:val="1"/>
      <w:numFmt w:val="lowerLetter"/>
      <w:suff w:val="nothing"/>
      <w:lvlText w:val="%1."/>
      <w:lvlJc w:val="left"/>
      <w:pPr>
        <w:ind w:left="425" w:firstLine="142"/>
      </w:pPr>
      <w:rPr>
        <w:rFonts w:hint="default"/>
      </w:rPr>
    </w:lvl>
  </w:abstractNum>
  <w:abstractNum w:abstractNumId="11">
    <w:nsid w:val="5EF7EC6F"/>
    <w:multiLevelType w:val="singleLevel"/>
    <w:tmpl w:val="5EF7EC6F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sz w:val="20"/>
        <w:szCs w:val="20"/>
      </w:rPr>
    </w:lvl>
  </w:abstractNum>
  <w:abstractNum w:abstractNumId="12">
    <w:nsid w:val="6A57BDC6"/>
    <w:multiLevelType w:val="singleLevel"/>
    <w:tmpl w:val="6A57BDC6"/>
    <w:lvl w:ilvl="0" w:tentative="0">
      <w:start w:val="1"/>
      <w:numFmt w:val="lowerLetter"/>
      <w:suff w:val="nothing"/>
      <w:lvlText w:val="%1."/>
      <w:lvlJc w:val="left"/>
      <w:pPr>
        <w:ind w:left="454" w:leftChars="0" w:firstLine="113" w:firstLineChars="0"/>
      </w:pPr>
      <w:rPr>
        <w:rFonts w:hint="default"/>
      </w:rPr>
    </w:lvl>
  </w:abstractNum>
  <w:abstractNum w:abstractNumId="13">
    <w:nsid w:val="6D0259C3"/>
    <w:multiLevelType w:val="singleLevel"/>
    <w:tmpl w:val="6D0259C3"/>
    <w:lvl w:ilvl="0" w:tentative="0">
      <w:start w:val="1"/>
      <w:numFmt w:val="lowerLetter"/>
      <w:suff w:val="nothing"/>
      <w:lvlText w:val="%1."/>
      <w:lvlJc w:val="left"/>
      <w:pPr>
        <w:ind w:left="425" w:firstLine="142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13"/>
  </w:num>
  <w:num w:numId="5">
    <w:abstractNumId w:val="4"/>
  </w:num>
  <w:num w:numId="6">
    <w:abstractNumId w:val="2"/>
  </w:num>
  <w:num w:numId="7">
    <w:abstractNumId w:val="12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8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FhOGIyYzRmM2UxZmNkODZkMDJkYjFlMjYyODA1YTcifQ=="/>
  </w:docVars>
  <w:rsids>
    <w:rsidRoot w:val="24D2209E"/>
    <w:rsid w:val="00494ACE"/>
    <w:rsid w:val="007B265A"/>
    <w:rsid w:val="00A55D11"/>
    <w:rsid w:val="00DA5D87"/>
    <w:rsid w:val="020A2C0E"/>
    <w:rsid w:val="038141F9"/>
    <w:rsid w:val="03DF2018"/>
    <w:rsid w:val="05C83698"/>
    <w:rsid w:val="070E48A8"/>
    <w:rsid w:val="07BC5A28"/>
    <w:rsid w:val="08970D02"/>
    <w:rsid w:val="090633D3"/>
    <w:rsid w:val="0A8A6F01"/>
    <w:rsid w:val="0BB574E9"/>
    <w:rsid w:val="0BC67500"/>
    <w:rsid w:val="0CCA131A"/>
    <w:rsid w:val="0DF33CF1"/>
    <w:rsid w:val="0DF72211"/>
    <w:rsid w:val="0F227162"/>
    <w:rsid w:val="0F5C08A7"/>
    <w:rsid w:val="10A62A18"/>
    <w:rsid w:val="1134315E"/>
    <w:rsid w:val="11BF336F"/>
    <w:rsid w:val="11C97D4A"/>
    <w:rsid w:val="11E626AA"/>
    <w:rsid w:val="11FF749C"/>
    <w:rsid w:val="149A59CD"/>
    <w:rsid w:val="15D312BB"/>
    <w:rsid w:val="16373051"/>
    <w:rsid w:val="165E7E7E"/>
    <w:rsid w:val="174F484D"/>
    <w:rsid w:val="179A4019"/>
    <w:rsid w:val="189212F3"/>
    <w:rsid w:val="18AD5A80"/>
    <w:rsid w:val="18CE3E98"/>
    <w:rsid w:val="19520625"/>
    <w:rsid w:val="1A120022"/>
    <w:rsid w:val="1AE22727"/>
    <w:rsid w:val="1C042A1F"/>
    <w:rsid w:val="1D57445C"/>
    <w:rsid w:val="1FD004F5"/>
    <w:rsid w:val="20784C33"/>
    <w:rsid w:val="22E542B8"/>
    <w:rsid w:val="24D2209E"/>
    <w:rsid w:val="26B72AA4"/>
    <w:rsid w:val="2B202C91"/>
    <w:rsid w:val="2CCB451E"/>
    <w:rsid w:val="2D7D23EE"/>
    <w:rsid w:val="2DBF5391"/>
    <w:rsid w:val="2DF60F5E"/>
    <w:rsid w:val="2F257DA7"/>
    <w:rsid w:val="2F80457E"/>
    <w:rsid w:val="31572824"/>
    <w:rsid w:val="322C3CB1"/>
    <w:rsid w:val="337551E4"/>
    <w:rsid w:val="349E5471"/>
    <w:rsid w:val="35FF587A"/>
    <w:rsid w:val="37A442EA"/>
    <w:rsid w:val="37F45D2F"/>
    <w:rsid w:val="38213DA4"/>
    <w:rsid w:val="383C5F9A"/>
    <w:rsid w:val="38474F05"/>
    <w:rsid w:val="38D526E1"/>
    <w:rsid w:val="394B75AF"/>
    <w:rsid w:val="3AA86919"/>
    <w:rsid w:val="3AE27603"/>
    <w:rsid w:val="3C004186"/>
    <w:rsid w:val="3C2B5111"/>
    <w:rsid w:val="3D626373"/>
    <w:rsid w:val="3DA7680A"/>
    <w:rsid w:val="3EEE1530"/>
    <w:rsid w:val="415648A7"/>
    <w:rsid w:val="41727207"/>
    <w:rsid w:val="42D25330"/>
    <w:rsid w:val="42FA64DC"/>
    <w:rsid w:val="432D3572"/>
    <w:rsid w:val="443D58AA"/>
    <w:rsid w:val="455467A5"/>
    <w:rsid w:val="461E3079"/>
    <w:rsid w:val="46A139FD"/>
    <w:rsid w:val="481007AD"/>
    <w:rsid w:val="49E17296"/>
    <w:rsid w:val="4AC86916"/>
    <w:rsid w:val="4C895DD1"/>
    <w:rsid w:val="4D1B0752"/>
    <w:rsid w:val="4D8E366A"/>
    <w:rsid w:val="4DD454D1"/>
    <w:rsid w:val="4E8C54B1"/>
    <w:rsid w:val="4EBB3F9B"/>
    <w:rsid w:val="4EC10F8B"/>
    <w:rsid w:val="4EDA651C"/>
    <w:rsid w:val="4FDE15A9"/>
    <w:rsid w:val="503C735D"/>
    <w:rsid w:val="51051655"/>
    <w:rsid w:val="51277097"/>
    <w:rsid w:val="51983E64"/>
    <w:rsid w:val="52816664"/>
    <w:rsid w:val="52A05BEE"/>
    <w:rsid w:val="52A13E2E"/>
    <w:rsid w:val="54394300"/>
    <w:rsid w:val="54D97240"/>
    <w:rsid w:val="56116B96"/>
    <w:rsid w:val="58346B6C"/>
    <w:rsid w:val="588B036D"/>
    <w:rsid w:val="58FC1D80"/>
    <w:rsid w:val="59017396"/>
    <w:rsid w:val="5F6E75C9"/>
    <w:rsid w:val="603E67DA"/>
    <w:rsid w:val="60402093"/>
    <w:rsid w:val="62AA0157"/>
    <w:rsid w:val="62E33669"/>
    <w:rsid w:val="63B25E95"/>
    <w:rsid w:val="63D74F7B"/>
    <w:rsid w:val="654952CF"/>
    <w:rsid w:val="6604073B"/>
    <w:rsid w:val="66102866"/>
    <w:rsid w:val="66D31996"/>
    <w:rsid w:val="688F3EA6"/>
    <w:rsid w:val="694035C3"/>
    <w:rsid w:val="69887333"/>
    <w:rsid w:val="6A454942"/>
    <w:rsid w:val="6B8D689A"/>
    <w:rsid w:val="6C445178"/>
    <w:rsid w:val="6C97174C"/>
    <w:rsid w:val="6CFB554B"/>
    <w:rsid w:val="6E34121C"/>
    <w:rsid w:val="6E5F098F"/>
    <w:rsid w:val="6EFE6B64"/>
    <w:rsid w:val="6FF941E7"/>
    <w:rsid w:val="70B2124A"/>
    <w:rsid w:val="711461F7"/>
    <w:rsid w:val="729907B2"/>
    <w:rsid w:val="735E1713"/>
    <w:rsid w:val="74B310ED"/>
    <w:rsid w:val="74BD1F6B"/>
    <w:rsid w:val="753D6B6C"/>
    <w:rsid w:val="75742F72"/>
    <w:rsid w:val="75881A8D"/>
    <w:rsid w:val="782E6441"/>
    <w:rsid w:val="786646C8"/>
    <w:rsid w:val="7877401B"/>
    <w:rsid w:val="78C338C8"/>
    <w:rsid w:val="79E359FC"/>
    <w:rsid w:val="7BAE551E"/>
    <w:rsid w:val="7C0B180E"/>
    <w:rsid w:val="7D3B1B2A"/>
    <w:rsid w:val="7F20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2"/>
    <w:qFormat/>
    <w:uiPriority w:val="0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4"/>
    <w:basedOn w:val="1"/>
    <w:next w:val="1"/>
    <w:autoRedefine/>
    <w:qFormat/>
    <w:uiPriority w:val="0"/>
    <w:pPr>
      <w:keepNext/>
      <w:keepLines/>
      <w:spacing w:before="120" w:after="120" w:line="360" w:lineRule="auto"/>
      <w:outlineLvl w:val="3"/>
    </w:pPr>
    <w:rPr>
      <w:rFonts w:ascii="Arial" w:hAnsi="Arial" w:eastAsia="宋体" w:cs="Times New Roman"/>
      <w:b/>
      <w:bCs/>
      <w:sz w:val="28"/>
      <w:szCs w:val="28"/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next w:val="1"/>
    <w:autoRedefine/>
    <w:qFormat/>
    <w:uiPriority w:val="0"/>
    <w:pPr>
      <w:widowControl w:val="0"/>
      <w:ind w:left="420" w:leftChars="20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6">
    <w:name w:val="Normal Indent"/>
    <w:basedOn w:val="1"/>
    <w:qFormat/>
    <w:uiPriority w:val="0"/>
    <w:pPr>
      <w:ind w:firstLine="420"/>
    </w:pPr>
  </w:style>
  <w:style w:type="paragraph" w:styleId="7">
    <w:name w:val="Body Text"/>
    <w:basedOn w:val="1"/>
    <w:autoRedefine/>
    <w:qFormat/>
    <w:uiPriority w:val="99"/>
    <w:pPr>
      <w:spacing w:before="0" w:beforeLines="0" w:after="0" w:afterLines="0" w:line="240" w:lineRule="auto"/>
      <w:ind w:firstLine="0" w:firstLineChars="0"/>
    </w:pPr>
    <w:rPr>
      <w:rFonts w:ascii="Helvetica" w:hAnsi="Helvetica" w:eastAsia="黑体" w:cs="Times New Roman"/>
      <w:i/>
      <w:iCs/>
      <w:sz w:val="21"/>
      <w:szCs w:val="20"/>
    </w:rPr>
  </w:style>
  <w:style w:type="paragraph" w:styleId="8">
    <w:name w:val="Body Text Indent"/>
    <w:basedOn w:val="1"/>
    <w:autoRedefine/>
    <w:qFormat/>
    <w:uiPriority w:val="0"/>
    <w:pPr>
      <w:spacing w:after="120" w:afterLines="0"/>
      <w:ind w:left="420" w:leftChars="200"/>
    </w:pPr>
  </w:style>
  <w:style w:type="paragraph" w:styleId="9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footer"/>
    <w:basedOn w:val="1"/>
    <w:link w:val="23"/>
    <w:autoRedefine/>
    <w:qFormat/>
    <w:uiPriority w:val="0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2"/>
    <w:autoRedefine/>
    <w:qFormat/>
    <w:uiPriority w:val="0"/>
    <w:pP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13">
    <w:name w:val="Title"/>
    <w:basedOn w:val="1"/>
    <w:autoRedefine/>
    <w:qFormat/>
    <w:uiPriority w:val="0"/>
    <w:pPr>
      <w:spacing w:before="240" w:after="60"/>
      <w:jc w:val="center"/>
      <w:outlineLvl w:val="0"/>
    </w:pPr>
    <w:rPr>
      <w:rFonts w:ascii="Arial" w:hAnsi="Arial" w:cs="Times New Roman"/>
      <w:b/>
      <w:sz w:val="32"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1"/>
    <w:basedOn w:val="1"/>
    <w:next w:val="8"/>
    <w:autoRedefine/>
    <w:qFormat/>
    <w:uiPriority w:val="0"/>
    <w:pPr>
      <w:widowControl w:val="0"/>
      <w:jc w:val="both"/>
    </w:pPr>
    <w:rPr>
      <w:rFonts w:ascii="宋体" w:hAnsi="Courier New"/>
      <w:kern w:val="2"/>
    </w:rPr>
  </w:style>
  <w:style w:type="paragraph" w:customStyle="1" w:styleId="18">
    <w:name w:val="font5"/>
    <w:basedOn w:val="1"/>
    <w:autoRedefine/>
    <w:qFormat/>
    <w:uiPriority w:val="0"/>
    <w:pPr>
      <w:spacing w:before="100" w:beforeLines="0" w:beforeAutospacing="1" w:after="100" w:afterLines="0" w:afterAutospacing="1"/>
    </w:pPr>
    <w:rPr>
      <w:rFonts w:ascii="宋体" w:hAnsi="宋体" w:cs="宋体"/>
      <w:sz w:val="18"/>
      <w:szCs w:val="18"/>
    </w:rPr>
  </w:style>
  <w:style w:type="paragraph" w:customStyle="1" w:styleId="19">
    <w:name w:val="表格文字"/>
    <w:basedOn w:val="1"/>
    <w:autoRedefine/>
    <w:qFormat/>
    <w:uiPriority w:val="0"/>
    <w:pPr>
      <w:spacing w:before="25" w:after="25"/>
    </w:pPr>
    <w:rPr>
      <w:bCs/>
      <w:spacing w:val="10"/>
      <w:kern w:val="0"/>
    </w:rPr>
  </w:style>
  <w:style w:type="paragraph" w:customStyle="1" w:styleId="20">
    <w:name w:val="Default"/>
    <w:autoRedefine/>
    <w:qFormat/>
    <w:uiPriority w:val="0"/>
    <w:pPr>
      <w:autoSpaceDE w:val="0"/>
      <w:autoSpaceDN w:val="0"/>
      <w:adjustRightInd w:val="0"/>
    </w:pPr>
    <w:rPr>
      <w:rFonts w:ascii="Calibri" w:hAnsi="Calibri" w:eastAsia="宋体" w:cs="Calibri"/>
      <w:color w:val="000000"/>
      <w:sz w:val="24"/>
      <w:szCs w:val="24"/>
      <w:lang w:val="en-US" w:eastAsia="zh-CN" w:bidi="ar-SA"/>
    </w:rPr>
  </w:style>
  <w:style w:type="paragraph" w:styleId="21">
    <w:name w:val="No Spacing"/>
    <w:autoRedefine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2">
    <w:name w:val="页眉 字符"/>
    <w:basedOn w:val="16"/>
    <w:link w:val="11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3">
    <w:name w:val="页脚 字符"/>
    <w:basedOn w:val="16"/>
    <w:link w:val="10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24">
    <w:name w:val="Body text|1"/>
    <w:basedOn w:val="1"/>
    <w:autoRedefine/>
    <w:qFormat/>
    <w:uiPriority w:val="0"/>
    <w:pPr>
      <w:widowControl w:val="0"/>
      <w:shd w:val="clear" w:color="auto" w:fill="auto"/>
      <w:spacing w:after="380"/>
      <w:jc w:val="center"/>
    </w:pPr>
    <w:rPr>
      <w:rFonts w:ascii="宋体" w:hAnsi="宋体" w:eastAsia="宋体" w:cs="宋体"/>
      <w:color w:val="64676B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25">
    <w:name w:val="Other|1"/>
    <w:basedOn w:val="1"/>
    <w:autoRedefine/>
    <w:qFormat/>
    <w:uiPriority w:val="0"/>
    <w:pPr>
      <w:widowControl w:val="0"/>
      <w:shd w:val="clear" w:color="auto" w:fill="auto"/>
    </w:pPr>
    <w:rPr>
      <w:rFonts w:ascii="宋体" w:hAnsi="宋体" w:eastAsia="宋体" w:cs="宋体"/>
      <w:color w:val="7D7E84"/>
      <w:sz w:val="20"/>
      <w:szCs w:val="20"/>
      <w:u w:val="none"/>
      <w:shd w:val="clear" w:color="auto" w:fill="auto"/>
      <w:lang w:val="zh-TW" w:eastAsia="zh-TW" w:bidi="zh-TW"/>
    </w:rPr>
  </w:style>
  <w:style w:type="paragraph" w:styleId="26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7">
    <w:name w:val="null3"/>
    <w:autoRedefine/>
    <w:hidden/>
    <w:qFormat/>
    <w:uiPriority w:val="0"/>
    <w:rPr>
      <w:rFonts w:hint="eastAsia" w:asciiTheme="minorHAnsi" w:hAnsiTheme="minorHAnsi" w:eastAsiaTheme="minorEastAsia" w:cstheme="minorBidi"/>
      <w:kern w:val="0"/>
      <w:sz w:val="20"/>
      <w:szCs w:val="20"/>
      <w:lang w:val="en-US" w:eastAsia="zh-Hans" w:bidi="ar-SA"/>
    </w:rPr>
  </w:style>
  <w:style w:type="paragraph" w:customStyle="1" w:styleId="28">
    <w:name w:val="正文_0"/>
    <w:autoRedefine/>
    <w:qFormat/>
    <w:uiPriority w:val="0"/>
    <w:pPr>
      <w:widowControl w:val="0"/>
      <w:jc w:val="both"/>
    </w:pPr>
    <w:rPr>
      <w:rFonts w:ascii="Times New Roman" w:hAnsi="Times New Roman" w:eastAsia="微软雅黑" w:cs="Times New Roman"/>
      <w:kern w:val="2"/>
      <w:sz w:val="21"/>
      <w:lang w:val="en-US" w:eastAsia="zh-CN" w:bidi="ar-SA"/>
    </w:rPr>
  </w:style>
  <w:style w:type="paragraph" w:customStyle="1" w:styleId="29">
    <w:name w:val="Plain Text"/>
    <w:basedOn w:val="1"/>
    <w:qFormat/>
    <w:uiPriority w:val="0"/>
    <w:rPr>
      <w:rFonts w:ascii="宋体" w:hAnsi="Courier New"/>
      <w:sz w:val="24"/>
      <w:szCs w:val="20"/>
    </w:rPr>
  </w:style>
  <w:style w:type="paragraph" w:customStyle="1" w:styleId="30">
    <w:name w:val="Date"/>
    <w:basedOn w:val="1"/>
    <w:next w:val="1"/>
    <w:qFormat/>
    <w:uiPriority w:val="0"/>
    <w:rPr>
      <w:rFonts w:ascii="Arial" w:hAnsi="Arial" w:eastAsia="KaiTi_GB2312"/>
      <w:sz w:val="28"/>
      <w:szCs w:val="20"/>
    </w:rPr>
  </w:style>
  <w:style w:type="paragraph" w:customStyle="1" w:styleId="31">
    <w:name w:val="列出段落1"/>
    <w:basedOn w:val="1"/>
    <w:qFormat/>
    <w:uiPriority w:val="34"/>
    <w:pPr>
      <w:ind w:firstLine="420" w:firstLineChars="200"/>
      <w:jc w:val="left"/>
    </w:pPr>
    <w:rPr>
      <w:rFonts w:ascii="Courier New" w:hAnsi="Courier New"/>
      <w:snapToGrid w:val="0"/>
      <w:kern w:val="0"/>
      <w:sz w:val="24"/>
      <w:szCs w:val="20"/>
      <w:lang w:eastAsia="en-US"/>
    </w:rPr>
  </w:style>
  <w:style w:type="character" w:customStyle="1" w:styleId="32">
    <w:name w:val="标题 2 Char"/>
    <w:basedOn w:val="16"/>
    <w:link w:val="3"/>
    <w:autoRedefine/>
    <w:qFormat/>
    <w:uiPriority w:val="9"/>
    <w:rPr>
      <w:rFonts w:ascii="Arial" w:hAnsi="Arial" w:eastAsia="黑体"/>
      <w:b/>
      <w:bCs/>
      <w:sz w:val="32"/>
      <w:szCs w:val="32"/>
    </w:rPr>
  </w:style>
  <w:style w:type="paragraph" w:customStyle="1" w:styleId="33">
    <w:name w:val="p15"/>
    <w:basedOn w:val="1"/>
    <w:qFormat/>
    <w:uiPriority w:val="0"/>
    <w:pPr>
      <w:adjustRightInd w:val="0"/>
    </w:pPr>
    <w:rPr>
      <w:rFonts w:ascii="Arial Unicode MS" w:hAnsi="Arial Unicode MS" w:cs="宋体"/>
      <w:color w:val="000000"/>
      <w:szCs w:val="24"/>
    </w:rPr>
  </w:style>
  <w:style w:type="paragraph" w:customStyle="1" w:styleId="34">
    <w:name w:val="列出段落2"/>
    <w:basedOn w:val="1"/>
    <w:qFormat/>
    <w:uiPriority w:val="0"/>
    <w:pPr>
      <w:ind w:firstLine="420" w:firstLineChars="200"/>
    </w:pPr>
  </w:style>
  <w:style w:type="paragraph" w:customStyle="1" w:styleId="35">
    <w:name w:val="Table Paragraph"/>
    <w:basedOn w:val="1"/>
    <w:qFormat/>
    <w:uiPriority w:val="1"/>
    <w:pPr>
      <w:ind w:left="11"/>
      <w:jc w:val="center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3119</Words>
  <Characters>3537</Characters>
  <Lines>8</Lines>
  <Paragraphs>2</Paragraphs>
  <TotalTime>5</TotalTime>
  <ScaleCrop>false</ScaleCrop>
  <LinksUpToDate>false</LinksUpToDate>
  <CharactersWithSpaces>3699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2023-07-10T10:50:00Z</dcterms:created>
  <dc:creator>农人</dc:creator>
  <cp:lastModifiedBy>吴定银</cp:lastModifiedBy>
  <dcterms:modified xsi:type="dcterms:W3CDTF">2026-07-24T03:00:49Z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7DF4184FBCB7417095EDF6424D74FF6F_13</vt:lpwstr>
  </property>
  <property fmtid="{D5CDD505-2E9C-101B-9397-08002B2CF9AE}" pid="4" name="KSOTemplateDocerSaveRecord">
    <vt:lpwstr>eyJoZGlkIjoiYmM0NzdjN2FkNWFlN2Y3YTk5NzNiZDRkZjhjNDgzOWQiLCJ1c2VySWQiOiIyNzYwMTQ1NDgifQ==</vt:lpwstr>
  </property>
</Properties>
</file>