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5000" w:type="pct"/>
        <w:jc w:val="center"/>
        <w:tblLayout w:type="autofit"/>
        <w:tblCellMar>
          <w:top w:w="0" w:type="dxa"/>
          <w:left w:w="108" w:type="dxa"/>
          <w:bottom w:w="0" w:type="dxa"/>
          <w:right w:w="108" w:type="dxa"/>
        </w:tblCellMar>
      </w:tblPr>
      <w:tblGrid>
        <w:gridCol w:w="8306"/>
      </w:tblGrid>
      <w:tr w14:paraId="3024E62F">
        <w:tblPrEx>
          <w:tblCellMar>
            <w:top w:w="0" w:type="dxa"/>
            <w:left w:w="108" w:type="dxa"/>
            <w:bottom w:w="0" w:type="dxa"/>
            <w:right w:w="108" w:type="dxa"/>
          </w:tblCellMar>
        </w:tblPrEx>
        <w:trPr>
          <w:trHeight w:val="589"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贵州航天医院单一来源</w:t>
            </w:r>
            <w:r>
              <w:rPr>
                <w:rFonts w:hint="eastAsia" w:ascii="FangSong_GB2312" w:hAnsi="FangSong_GB2312" w:eastAsia="FangSong_GB2312" w:cs="FangSong_GB2312"/>
                <w:b/>
                <w:bCs/>
                <w:color w:val="000000"/>
                <w:kern w:val="0"/>
                <w:sz w:val="28"/>
                <w:szCs w:val="28"/>
                <w:lang w:val="en-US" w:eastAsia="zh-CN" w:bidi="ar"/>
              </w:rPr>
              <w:t>采购</w:t>
            </w:r>
            <w:r>
              <w:rPr>
                <w:rFonts w:hint="eastAsia" w:ascii="FangSong_GB2312" w:hAnsi="FangSong_GB2312" w:eastAsia="FangSong_GB2312" w:cs="FangSong_GB2312"/>
                <w:b/>
                <w:bCs/>
                <w:color w:val="000000"/>
                <w:kern w:val="0"/>
                <w:sz w:val="28"/>
                <w:szCs w:val="28"/>
                <w:lang w:bidi="ar"/>
              </w:rPr>
              <w:t>公告</w:t>
            </w:r>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keepNext w:val="0"/>
              <w:keepLines w:val="0"/>
              <w:widowControl/>
              <w:suppressLineNumbers w:val="0"/>
              <w:jc w:val="left"/>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项目名称：贵州航天</w:t>
            </w:r>
            <w:r>
              <w:rPr>
                <w:rFonts w:hint="eastAsia" w:ascii="FangSong_GB2312" w:hAnsi="FangSong_GB2312" w:eastAsia="FangSong_GB2312" w:cs="FangSong_GB2312"/>
                <w:color w:val="000000"/>
                <w:kern w:val="0"/>
                <w:sz w:val="24"/>
                <w:lang w:eastAsia="zh-CN" w:bidi="ar"/>
              </w:rPr>
              <w:t>医院</w:t>
            </w:r>
            <w:r>
              <w:rPr>
                <w:rFonts w:hint="eastAsia" w:ascii="FangSong_GB2312" w:hAnsi="FangSong_GB2312" w:eastAsia="FangSong_GB2312" w:cs="FangSong_GB2312"/>
                <w:color w:val="000000"/>
                <w:kern w:val="0"/>
                <w:sz w:val="24"/>
                <w:lang w:val="en-US" w:eastAsia="zh-CN" w:bidi="ar"/>
              </w:rPr>
              <w:t>西门子DSA维保服务单一来源</w:t>
            </w:r>
            <w:r>
              <w:rPr>
                <w:rFonts w:hint="eastAsia" w:ascii="FangSong_GB2312" w:hAnsi="FangSong_GB2312" w:eastAsia="FangSong_GB2312" w:cs="FangSong_GB2312"/>
                <w:color w:val="000000"/>
                <w:kern w:val="0"/>
                <w:sz w:val="24"/>
                <w:lang w:eastAsia="zh-CN" w:bidi="ar"/>
              </w:rPr>
              <w:t>采购</w:t>
            </w:r>
            <w:r>
              <w:rPr>
                <w:rFonts w:hint="eastAsia" w:ascii="FangSong_GB2312" w:hAnsi="FangSong_GB2312" w:eastAsia="FangSong_GB2312" w:cs="FangSong_GB2312"/>
                <w:color w:val="000000"/>
                <w:kern w:val="0"/>
                <w:sz w:val="24"/>
                <w:lang w:bidi="ar"/>
              </w:rPr>
              <w:t>项目</w:t>
            </w:r>
          </w:p>
        </w:tc>
      </w:tr>
      <w:tr w14:paraId="4746C0D9">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9619D9C">
            <w:pPr>
              <w:widowControl/>
              <w:jc w:val="left"/>
              <w:textAlignment w:val="cente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单一来源采购</w:t>
            </w:r>
          </w:p>
        </w:tc>
      </w:tr>
      <w:tr w14:paraId="3EE336F5">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8E0D778">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000000"/>
                <w:kern w:val="0"/>
                <w:sz w:val="24"/>
                <w:lang w:bidi="ar"/>
              </w:rPr>
              <w:t>单一来源采购供应商：</w:t>
            </w:r>
            <w:r>
              <w:rPr>
                <w:rFonts w:hint="eastAsia" w:ascii="FangSong_GB2312" w:hAnsi="FangSong_GB2312" w:eastAsia="FangSong_GB2312" w:cs="FangSong_GB2312"/>
                <w:color w:val="000000"/>
                <w:kern w:val="0"/>
                <w:sz w:val="24"/>
                <w:lang w:eastAsia="zh-CN" w:bidi="ar"/>
              </w:rPr>
              <w:t>西门子</w:t>
            </w:r>
            <w:r>
              <w:rPr>
                <w:rFonts w:hint="eastAsia" w:ascii="FangSong_GB2312" w:hAnsi="FangSong_GB2312" w:eastAsia="FangSong_GB2312" w:cs="FangSong_GB2312"/>
                <w:color w:val="000000"/>
                <w:kern w:val="0"/>
                <w:sz w:val="24"/>
                <w:lang w:bidi="ar"/>
              </w:rPr>
              <w:t>原厂或原厂授权的本地售后服务商（提供授权证明）</w:t>
            </w:r>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1ED74C67">
            <w:pPr>
              <w:widowControl/>
              <w:ind w:firstLine="480"/>
              <w:jc w:val="left"/>
              <w:textAlignment w:val="cente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35万元/年</w:t>
            </w:r>
          </w:p>
        </w:tc>
      </w:tr>
      <w:tr w14:paraId="02D50DE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6ADB5180">
            <w:pPr>
              <w:widowControl/>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000000"/>
                <w:kern w:val="0"/>
                <w:sz w:val="24"/>
                <w:lang w:bidi="ar"/>
              </w:rPr>
              <w:t xml:space="preserve">    最高限价：</w:t>
            </w:r>
            <w:r>
              <w:rPr>
                <w:rFonts w:hint="eastAsia" w:ascii="FangSong_GB2312" w:hAnsi="FangSong_GB2312" w:eastAsia="FangSong_GB2312" w:cs="FangSong_GB2312"/>
                <w:color w:val="000000"/>
                <w:kern w:val="0"/>
                <w:sz w:val="24"/>
                <w:lang w:val="en-US" w:eastAsia="zh-CN" w:bidi="ar"/>
              </w:rPr>
              <w:t>35万元/年</w:t>
            </w:r>
          </w:p>
        </w:tc>
      </w:tr>
      <w:tr w14:paraId="07E585D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8FA703F">
            <w:pPr>
              <w:ind w:firstLine="480" w:firstLineChars="200"/>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000000"/>
                <w:kern w:val="0"/>
                <w:sz w:val="24"/>
                <w:lang w:bidi="ar"/>
              </w:rPr>
              <w:t>采购需求：</w:t>
            </w:r>
          </w:p>
          <w:p w14:paraId="78F17309">
            <w:pPr>
              <w:ind w:firstLine="960" w:firstLineChars="400"/>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西门子西门子DSA(Artis zee floor)1台，购买维保服务。</w:t>
            </w:r>
          </w:p>
          <w:p w14:paraId="42C0F384">
            <w:pPr>
              <w:ind w:firstLine="960" w:firstLineChars="400"/>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由于西门子DSA的配件是西门子独家生产，后续备件更换有统一规格的基础，才能保证设备维修后的技术参数能达到原有设备出厂时的技术参数与安全性要求。</w:t>
            </w:r>
          </w:p>
          <w:p w14:paraId="7526D374">
            <w:pPr>
              <w:widowControl/>
              <w:ind w:firstLine="960" w:firstLineChars="4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服务期限</w:t>
            </w:r>
            <w:r>
              <w:rPr>
                <w:rFonts w:hint="eastAsia" w:ascii="FangSong_GB2312" w:hAnsi="FangSong_GB2312" w:eastAsia="FangSong_GB2312" w:cs="FangSong_GB2312"/>
                <w:color w:val="000000"/>
                <w:kern w:val="0"/>
                <w:sz w:val="24"/>
                <w:highlight w:val="none"/>
                <w:lang w:val="en-US" w:eastAsia="zh-CN" w:bidi="ar"/>
              </w:rPr>
              <w:t>1</w:t>
            </w:r>
            <w:r>
              <w:rPr>
                <w:rFonts w:hint="eastAsia" w:ascii="FangSong_GB2312" w:hAnsi="FangSong_GB2312" w:eastAsia="FangSong_GB2312" w:cs="FangSong_GB2312"/>
                <w:color w:val="000000"/>
                <w:kern w:val="0"/>
                <w:sz w:val="24"/>
                <w:lang w:val="en-US" w:eastAsia="zh-CN" w:bidi="ar"/>
              </w:rPr>
              <w:t>年。维保参数详见附件1。</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5C6EFC28">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提供独立承担民事责任的能力，如营业执照、自然人身份证明等</w:t>
            </w:r>
          </w:p>
        </w:tc>
      </w:tr>
      <w:tr w14:paraId="2846FAC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6EE8F3B1">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具有良好的商业信誉和健全的财务制度，具体要求（如财务报表等）</w:t>
            </w:r>
          </w:p>
        </w:tc>
      </w:tr>
      <w:tr w14:paraId="355B248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BE8927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具有履行合同所必须的设备和专业技术能力（资料</w:t>
            </w:r>
            <w:r>
              <w:rPr>
                <w:rFonts w:hint="eastAsia" w:ascii="FangSong_GB2312" w:hAnsi="FangSong_GB2312" w:eastAsia="FangSong_GB2312" w:cs="FangSong_GB2312"/>
                <w:color w:val="000000"/>
                <w:kern w:val="0"/>
                <w:sz w:val="24"/>
                <w:lang w:val="en-US" w:eastAsia="zh-CN" w:bidi="ar"/>
              </w:rPr>
              <w:t>及产品授权</w:t>
            </w:r>
            <w:r>
              <w:rPr>
                <w:rFonts w:hint="eastAsia" w:ascii="FangSong_GB2312" w:hAnsi="FangSong_GB2312" w:eastAsia="FangSong_GB2312" w:cs="FangSong_GB2312"/>
                <w:color w:val="000000"/>
                <w:kern w:val="0"/>
                <w:sz w:val="24"/>
                <w:lang w:bidi="ar"/>
              </w:rPr>
              <w:t>）</w:t>
            </w:r>
          </w:p>
        </w:tc>
      </w:tr>
      <w:tr w14:paraId="34FBCFF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3C0C5B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具有依法缴纳税收和社会保障金的良好记录</w:t>
            </w:r>
          </w:p>
        </w:tc>
      </w:tr>
      <w:tr w14:paraId="477D5069">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6E680F10">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参加政府采购活动前三年内，在经营活动中没有重大违法记录（书面证明）</w:t>
            </w:r>
          </w:p>
        </w:tc>
      </w:tr>
      <w:tr w14:paraId="1E3B8757">
        <w:tblPrEx>
          <w:tblCellMar>
            <w:top w:w="0" w:type="dxa"/>
            <w:left w:w="108" w:type="dxa"/>
            <w:bottom w:w="0" w:type="dxa"/>
            <w:right w:w="108" w:type="dxa"/>
          </w:tblCellMar>
        </w:tblPrEx>
        <w:trPr>
          <w:trHeight w:val="540" w:hRule="atLeast"/>
          <w:jc w:val="center"/>
        </w:trPr>
        <w:tc>
          <w:tcPr>
            <w:tcW w:w="5000" w:type="pct"/>
            <w:tcBorders>
              <w:top w:val="nil"/>
              <w:left w:val="nil"/>
              <w:bottom w:val="nil"/>
              <w:right w:val="nil"/>
            </w:tcBorders>
            <w:vAlign w:val="center"/>
          </w:tcPr>
          <w:p w14:paraId="264BD93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不是失信被执行人、重大税收违法案件当事人、政府采购严重违法失信行为人等的承诺或资料</w:t>
            </w:r>
          </w:p>
        </w:tc>
      </w:tr>
      <w:tr w14:paraId="44931612">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3A0933E8">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44"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截止时间：自本公告发布之日起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C07F18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地点：贵州航天医院</w:t>
            </w:r>
            <w:r>
              <w:rPr>
                <w:rFonts w:hint="eastAsia" w:ascii="FangSong_GB2312" w:hAnsi="FangSong_GB2312" w:eastAsia="FangSong_GB2312" w:cs="FangSong_GB2312"/>
                <w:color w:val="000000"/>
                <w:kern w:val="0"/>
                <w:sz w:val="24"/>
                <w:lang w:eastAsia="zh-CN" w:bidi="ar"/>
              </w:rPr>
              <w:t>外科综合楼一楼</w:t>
            </w:r>
            <w:r>
              <w:rPr>
                <w:rFonts w:hint="eastAsia" w:ascii="FangSong_GB2312" w:hAnsi="FangSong_GB2312" w:eastAsia="FangSong_GB2312" w:cs="FangSong_GB2312"/>
                <w:color w:val="000000"/>
                <w:kern w:val="0"/>
                <w:sz w:val="24"/>
                <w:lang w:bidi="ar"/>
              </w:rPr>
              <w:t>医学装备部</w:t>
            </w:r>
            <w:r>
              <w:rPr>
                <w:rFonts w:hint="eastAsia" w:ascii="FangSong_GB2312" w:hAnsi="FangSong_GB2312" w:eastAsia="FangSong_GB2312" w:cs="FangSong_GB2312"/>
                <w:color w:val="000000"/>
                <w:kern w:val="0"/>
                <w:sz w:val="24"/>
                <w:lang w:val="en-US" w:eastAsia="zh-CN" w:bidi="ar"/>
              </w:rPr>
              <w:t>吴老师</w:t>
            </w:r>
            <w:r>
              <w:rPr>
                <w:rFonts w:hint="eastAsia" w:ascii="FangSong_GB2312" w:hAnsi="FangSong_GB2312" w:eastAsia="FangSong_GB2312" w:cs="FangSong_GB2312"/>
                <w:color w:val="000000"/>
                <w:kern w:val="0"/>
                <w:sz w:val="24"/>
                <w:lang w:bidi="ar"/>
              </w:rPr>
              <w:t>收，联系电话：0851-</w:t>
            </w:r>
            <w:r>
              <w:rPr>
                <w:rFonts w:hint="eastAsia" w:asciiTheme="minorEastAsia" w:hAnsiTheme="minorEastAsia" w:eastAsiaTheme="minorEastAsia" w:cstheme="minorEastAsia"/>
                <w:color w:val="000000"/>
                <w:kern w:val="0"/>
                <w:sz w:val="24"/>
                <w:lang w:bidi="ar"/>
              </w:rPr>
              <w:t>27677989</w:t>
            </w:r>
          </w:p>
        </w:tc>
      </w:tr>
      <w:tr w14:paraId="5AA8DD6C">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CF2E34E">
            <w:pPr>
              <w:widowControl/>
              <w:jc w:val="left"/>
              <w:textAlignment w:val="center"/>
              <w:rPr>
                <w:rFonts w:hint="eastAsia" w:ascii="FangSong_GB2312" w:hAnsi="FangSong_GB2312" w:eastAsia="FangSong_GB2312" w:cs="FangSong_GB2312"/>
                <w:color w:val="000000"/>
                <w:sz w:val="24"/>
                <w:lang w:eastAsia="zh-CN"/>
              </w:rPr>
            </w:pPr>
            <w:r>
              <w:rPr>
                <w:rFonts w:hint="eastAsia" w:ascii="FangSong_GB2312" w:hAnsi="FangSong_GB2312" w:eastAsia="FangSong_GB2312" w:cs="FangSong_GB2312"/>
                <w:color w:val="000000"/>
                <w:kern w:val="0"/>
                <w:sz w:val="24"/>
                <w:lang w:bidi="ar"/>
              </w:rPr>
              <w:t xml:space="preserve">    开启：（是否见面、纸质或电子）</w:t>
            </w:r>
            <w:r>
              <w:rPr>
                <w:rFonts w:hint="eastAsia" w:ascii="FangSong_GB2312" w:hAnsi="FangSong_GB2312" w:eastAsia="FangSong_GB2312" w:cs="FangSong_GB2312"/>
                <w:color w:val="000000"/>
                <w:kern w:val="0"/>
                <w:sz w:val="24"/>
                <w:lang w:eastAsia="zh-CN" w:bidi="ar"/>
              </w:rPr>
              <w:t>纸质版密封</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hint="default" w:ascii="FangSong_GB2312" w:hAnsi="FangSong_GB2312" w:eastAsia="FangSong_GB2312" w:cs="FangSong_GB2312"/>
                <w:color w:val="000000"/>
                <w:sz w:val="24"/>
                <w:lang w:val="en-US" w:eastAsia="zh-CN"/>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w:t>
            </w:r>
            <w:r>
              <w:rPr>
                <w:rFonts w:hint="eastAsia" w:asciiTheme="minorEastAsia" w:hAnsiTheme="minorEastAsia" w:eastAsiaTheme="minorEastAsia" w:cstheme="minorEastAsia"/>
                <w:color w:val="000000"/>
                <w:kern w:val="0"/>
                <w:sz w:val="24"/>
                <w:lang w:bidi="ar"/>
              </w:rPr>
              <w:t>27677989</w:t>
            </w:r>
          </w:p>
        </w:tc>
      </w:tr>
    </w:tbl>
    <w:p w14:paraId="76D48980">
      <w:pPr>
        <w:keepNext w:val="0"/>
        <w:keepLines w:val="0"/>
        <w:widowControl/>
        <w:suppressLineNumbers w:val="0"/>
        <w:spacing w:line="240" w:lineRule="auto"/>
        <w:jc w:val="left"/>
        <w:rPr>
          <w:rFonts w:hint="default" w:ascii="宋体" w:hAnsi="宋体" w:cs="宋体"/>
          <w:b/>
          <w:bCs/>
          <w:color w:val="000000"/>
          <w:kern w:val="0"/>
          <w:sz w:val="28"/>
          <w:szCs w:val="28"/>
          <w:lang w:val="en-US" w:eastAsia="zh-CN" w:bidi="ar"/>
        </w:rPr>
      </w:pPr>
      <w:r>
        <w:rPr>
          <w:rFonts w:hint="eastAsia" w:ascii="宋体" w:hAnsi="宋体" w:cs="宋体"/>
          <w:color w:val="000000"/>
          <w:kern w:val="0"/>
          <w:sz w:val="28"/>
          <w:szCs w:val="28"/>
          <w:lang w:val="en-US" w:eastAsia="zh-CN" w:bidi="ar"/>
        </w:rPr>
        <w:t>附件1：维保参数</w:t>
      </w:r>
      <w:r>
        <w:rPr>
          <w:rFonts w:hint="eastAsia" w:ascii="宋体" w:hAnsi="宋体" w:cs="宋体"/>
          <w:b/>
          <w:bCs/>
          <w:color w:val="000000"/>
          <w:kern w:val="0"/>
          <w:sz w:val="28"/>
          <w:szCs w:val="28"/>
          <w:lang w:val="en-US" w:eastAsia="zh-CN" w:bidi="ar"/>
        </w:rPr>
        <w:t>（需提供参数偏离表）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408"/>
        <w:gridCol w:w="514"/>
        <w:gridCol w:w="611"/>
        <w:gridCol w:w="4277"/>
      </w:tblGrid>
      <w:tr w14:paraId="2BDC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02E935F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408" w:type="dxa"/>
            <w:vAlign w:val="center"/>
          </w:tcPr>
          <w:p w14:paraId="47C7B046">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采购服务名称</w:t>
            </w:r>
          </w:p>
        </w:tc>
        <w:tc>
          <w:tcPr>
            <w:tcW w:w="514" w:type="dxa"/>
          </w:tcPr>
          <w:p w14:paraId="52C2571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611" w:type="dxa"/>
          </w:tcPr>
          <w:p w14:paraId="04938F7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4277" w:type="dxa"/>
            <w:vAlign w:val="center"/>
          </w:tcPr>
          <w:p w14:paraId="2BF33247">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技术要求</w:t>
            </w:r>
          </w:p>
        </w:tc>
      </w:tr>
      <w:tr w14:paraId="0A72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12" w:type="dxa"/>
          </w:tcPr>
          <w:p w14:paraId="49D2F223">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408" w:type="dxa"/>
          </w:tcPr>
          <w:p w14:paraId="430EA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西门子 DSA</w:t>
            </w:r>
          </w:p>
          <w:p w14:paraId="5084D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(Artis zee floor)维保服务</w:t>
            </w:r>
          </w:p>
          <w:p w14:paraId="3CA0076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4"/>
                <w:szCs w:val="24"/>
              </w:rPr>
            </w:pPr>
          </w:p>
        </w:tc>
        <w:tc>
          <w:tcPr>
            <w:tcW w:w="514" w:type="dxa"/>
          </w:tcPr>
          <w:p w14:paraId="6249AADA">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年</w:t>
            </w:r>
          </w:p>
        </w:tc>
        <w:tc>
          <w:tcPr>
            <w:tcW w:w="611" w:type="dxa"/>
          </w:tcPr>
          <w:p w14:paraId="3F2C4742">
            <w:pPr>
              <w:pageBreakBefore w:val="0"/>
              <w:widowControl/>
              <w:kinsoku/>
              <w:wordWrap/>
              <w:topLinePunct w:val="0"/>
              <w:bidi w:val="0"/>
              <w:spacing w:line="360" w:lineRule="auto"/>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1</w:t>
            </w:r>
          </w:p>
        </w:tc>
        <w:tc>
          <w:tcPr>
            <w:tcW w:w="4277" w:type="dxa"/>
          </w:tcPr>
          <w:p w14:paraId="332E6938">
            <w:pPr>
              <w:pageBreakBefore w:val="0"/>
              <w:numPr>
                <w:ilvl w:val="0"/>
                <w:numId w:val="0"/>
              </w:numPr>
              <w:kinsoku/>
              <w:wordWrap/>
              <w:topLinePunct w:val="0"/>
              <w:bidi w:val="0"/>
              <w:spacing w:line="360" w:lineRule="auto"/>
              <w:jc w:val="both"/>
              <w:rPr>
                <w:rFonts w:hint="default"/>
                <w:highlight w:val="none"/>
                <w:lang w:val="en-US" w:eastAsia="zh-CN"/>
              </w:rPr>
            </w:pPr>
            <w:r>
              <w:rPr>
                <w:rFonts w:hint="eastAsia"/>
                <w:highlight w:val="none"/>
                <w:lang w:val="en-US" w:eastAsia="zh-CN"/>
              </w:rPr>
              <w:t>1.维保年限：自合同开始之日起1年。</w:t>
            </w:r>
          </w:p>
          <w:p w14:paraId="297334BB">
            <w:pPr>
              <w:pageBreakBefore w:val="0"/>
              <w:numPr>
                <w:ilvl w:val="0"/>
                <w:numId w:val="0"/>
              </w:numPr>
              <w:kinsoku/>
              <w:wordWrap/>
              <w:topLinePunct w:val="0"/>
              <w:bidi w:val="0"/>
              <w:spacing w:line="360" w:lineRule="auto"/>
              <w:jc w:val="both"/>
              <w:rPr>
                <w:rFonts w:hint="default"/>
                <w:highlight w:val="none"/>
                <w:lang w:val="en-US" w:eastAsia="zh-CN"/>
              </w:rPr>
            </w:pPr>
            <w:r>
              <w:rPr>
                <w:rFonts w:hint="eastAsia"/>
                <w:highlight w:val="none"/>
                <w:lang w:val="en-US" w:eastAsia="zh-CN"/>
              </w:rPr>
              <w:t>2.</w:t>
            </w:r>
            <w:r>
              <w:rPr>
                <w:rFonts w:hint="default"/>
                <w:highlight w:val="none"/>
                <w:lang w:val="en-US" w:eastAsia="zh-CN"/>
              </w:rPr>
              <w:t>维保内容：含安全检查、质量保证、安全升级、24小时×365天热线支持、西门子远程服务、预防性保养、预防性保养耗材、</w:t>
            </w:r>
            <w:r>
              <w:rPr>
                <w:rFonts w:hint="eastAsia"/>
                <w:highlight w:val="none"/>
                <w:lang w:val="en-US" w:eastAsia="zh-CN"/>
              </w:rPr>
              <w:t>维保期内</w:t>
            </w:r>
            <w:r>
              <w:rPr>
                <w:rFonts w:hint="default"/>
                <w:highlight w:val="none"/>
                <w:lang w:val="en-US" w:eastAsia="zh-CN"/>
              </w:rPr>
              <w:t>无限次人工维修、常规备件、高压油箱</w:t>
            </w:r>
            <w:r>
              <w:rPr>
                <w:rFonts w:hint="eastAsia"/>
                <w:highlight w:val="none"/>
                <w:lang w:val="en-US" w:eastAsia="zh-CN"/>
              </w:rPr>
              <w:t>更换</w:t>
            </w:r>
            <w:r>
              <w:rPr>
                <w:rFonts w:hint="default"/>
                <w:highlight w:val="none"/>
                <w:lang w:val="en-US" w:eastAsia="zh-CN"/>
              </w:rPr>
              <w:t>。球管、探测器（平板）享有15%更换折扣率（更换时无工时费）。</w:t>
            </w:r>
          </w:p>
          <w:p w14:paraId="23F0FDFF">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3.</w:t>
            </w:r>
            <w:r>
              <w:rPr>
                <w:rFonts w:hint="default"/>
                <w:lang w:val="en-US" w:eastAsia="zh-CN"/>
              </w:rPr>
              <w:t>远程诊断：具备网络远程诊断及核心零部件故障预警功能。</w:t>
            </w:r>
          </w:p>
          <w:p w14:paraId="03275F26">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4.</w:t>
            </w:r>
            <w:r>
              <w:rPr>
                <w:rFonts w:hint="default"/>
                <w:lang w:val="en-US" w:eastAsia="zh-CN"/>
              </w:rPr>
              <w:t>备件保障：提供正规、合法、全新的原厂备件</w:t>
            </w:r>
            <w:r>
              <w:rPr>
                <w:rFonts w:hint="eastAsia"/>
                <w:lang w:val="en-US" w:eastAsia="zh-CN"/>
              </w:rPr>
              <w:t>。</w:t>
            </w:r>
          </w:p>
          <w:p w14:paraId="3AF569DC">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5.</w:t>
            </w:r>
            <w:r>
              <w:rPr>
                <w:rFonts w:hint="default"/>
                <w:lang w:val="en-US" w:eastAsia="zh-CN"/>
              </w:rPr>
              <w:t>质控要求：定期进</w:t>
            </w:r>
            <w:bookmarkStart w:id="0" w:name="_GoBack"/>
            <w:bookmarkEnd w:id="0"/>
            <w:r>
              <w:rPr>
                <w:rFonts w:hint="default"/>
                <w:lang w:val="en-US" w:eastAsia="zh-CN"/>
              </w:rPr>
              <w:t>行设备的机械安全检测、电气安全检测、图像质量检测等，并提供报告，确保设备符合原厂质量要求。</w:t>
            </w:r>
          </w:p>
          <w:p w14:paraId="199DECCF">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6.</w:t>
            </w:r>
            <w:r>
              <w:rPr>
                <w:rFonts w:hint="default"/>
                <w:lang w:val="en-US" w:eastAsia="zh-CN"/>
              </w:rPr>
              <w:t>保养次数：每年保养次数不少于2次。</w:t>
            </w:r>
          </w:p>
          <w:p w14:paraId="616CB1DF">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7.</w:t>
            </w:r>
            <w:r>
              <w:rPr>
                <w:rFonts w:hint="default"/>
                <w:lang w:val="en-US" w:eastAsia="zh-CN"/>
              </w:rPr>
              <w:t>巡检次数：每年巡检次数不少于2次。</w:t>
            </w:r>
          </w:p>
          <w:p w14:paraId="099A540F">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8.</w:t>
            </w:r>
            <w:r>
              <w:rPr>
                <w:rFonts w:hint="default"/>
                <w:lang w:val="en-US" w:eastAsia="zh-CN"/>
              </w:rPr>
              <w:t>远程系统：具备使用西门子原厂远程诊断系统（PRS）的能力，24小时远程监测设备运行。</w:t>
            </w:r>
          </w:p>
          <w:p w14:paraId="096FAA9E">
            <w:pPr>
              <w:pageBreakBefore w:val="0"/>
              <w:numPr>
                <w:ilvl w:val="0"/>
                <w:numId w:val="0"/>
              </w:numPr>
              <w:kinsoku/>
              <w:wordWrap/>
              <w:topLinePunct w:val="0"/>
              <w:bidi w:val="0"/>
              <w:spacing w:line="360" w:lineRule="auto"/>
              <w:jc w:val="both"/>
              <w:rPr>
                <w:rFonts w:hint="eastAsia"/>
                <w:lang w:val="en-US" w:eastAsia="zh-CN"/>
              </w:rPr>
            </w:pPr>
            <w:r>
              <w:rPr>
                <w:rFonts w:hint="eastAsia"/>
                <w:lang w:val="en-US" w:eastAsia="zh-CN"/>
              </w:rPr>
              <w:t>9.</w:t>
            </w:r>
            <w:r>
              <w:rPr>
                <w:rFonts w:hint="default"/>
                <w:lang w:val="en-US" w:eastAsia="zh-CN"/>
              </w:rPr>
              <w:t>响应时效：7*24小时不间断热线</w:t>
            </w:r>
            <w:r>
              <w:rPr>
                <w:rFonts w:hint="eastAsia"/>
                <w:lang w:val="en-US" w:eastAsia="zh-CN"/>
              </w:rPr>
              <w:t>响应，初次响应时间不超过1小时，现场响应时间不超过24小时贵州省内常驻工程师，确保最快响应速度。</w:t>
            </w:r>
          </w:p>
          <w:p w14:paraId="6EB02D45">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10.</w:t>
            </w:r>
            <w:r>
              <w:rPr>
                <w:rFonts w:hint="default"/>
                <w:lang w:val="en-US"/>
              </w:rPr>
              <w:t>培训要求：提供专业培训班、现场指导、网络在线、微信平台等培训服务，培训课程包含业务管理培训、专业技术培训、临床应用培训等。</w:t>
            </w:r>
          </w:p>
          <w:p w14:paraId="148B01DE">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11.</w:t>
            </w:r>
            <w:r>
              <w:rPr>
                <w:rFonts w:hint="default"/>
                <w:lang w:val="en-US" w:eastAsia="zh-CN"/>
              </w:rPr>
              <w:t>工程师资质：提供有效期内原厂培训证明文件。</w:t>
            </w:r>
          </w:p>
          <w:p w14:paraId="622091CF">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12.</w:t>
            </w:r>
            <w:r>
              <w:rPr>
                <w:rFonts w:hint="default"/>
                <w:lang w:val="en-US" w:eastAsia="zh-CN"/>
              </w:rPr>
              <w:t>工程师在职：提供投标日前连续6个月社保记录。</w:t>
            </w:r>
          </w:p>
          <w:p w14:paraId="49C77E7F">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13.</w:t>
            </w:r>
            <w:r>
              <w:rPr>
                <w:rFonts w:hint="default"/>
                <w:lang w:val="en-US"/>
              </w:rPr>
              <w:t>远程系统：具备完全使用西门子原厂远程诊断系统（PRS）的权力和能力，提供嵌入式远程连接的实时远程服务，通过远程系统24小时不间断监测设备运行健康状况。</w:t>
            </w:r>
          </w:p>
          <w:p w14:paraId="515A88B5">
            <w:pPr>
              <w:pageBreakBefore w:val="0"/>
              <w:numPr>
                <w:ilvl w:val="0"/>
                <w:numId w:val="0"/>
              </w:numPr>
              <w:kinsoku/>
              <w:wordWrap/>
              <w:topLinePunct w:val="0"/>
              <w:bidi w:val="0"/>
              <w:spacing w:line="360" w:lineRule="auto"/>
              <w:jc w:val="both"/>
              <w:rPr>
                <w:rFonts w:hint="default"/>
                <w:lang w:val="en-US"/>
              </w:rPr>
            </w:pPr>
          </w:p>
          <w:p w14:paraId="324EC0C5">
            <w:pPr>
              <w:pageBreakBefore w:val="0"/>
              <w:numPr>
                <w:ilvl w:val="0"/>
                <w:numId w:val="0"/>
              </w:numPr>
              <w:kinsoku/>
              <w:wordWrap/>
              <w:topLinePunct w:val="0"/>
              <w:bidi w:val="0"/>
              <w:spacing w:line="360" w:lineRule="auto"/>
              <w:jc w:val="both"/>
              <w:rPr>
                <w:rFonts w:hint="default"/>
                <w:lang w:val="en-US"/>
              </w:rPr>
            </w:pPr>
          </w:p>
        </w:tc>
      </w:tr>
    </w:tbl>
    <w:p w14:paraId="2721B742">
      <w:pPr>
        <w:keepNext w:val="0"/>
        <w:keepLines w:val="0"/>
        <w:widowControl/>
        <w:suppressLineNumbers w:val="0"/>
        <w:spacing w:line="240" w:lineRule="auto"/>
        <w:jc w:val="left"/>
        <w:rPr>
          <w:rFonts w:hint="default" w:ascii="宋体" w:hAnsi="宋体" w:cs="宋体"/>
          <w:color w:val="000000"/>
          <w:kern w:val="0"/>
          <w:sz w:val="28"/>
          <w:szCs w:val="28"/>
          <w:lang w:val="en-US" w:eastAsia="zh-CN" w:bidi="ar"/>
        </w:rPr>
      </w:pP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60101010101"/>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hOGIyYzRmM2UxZmNkODZkMDJkYjFlMjYyODA1YTcifQ=="/>
  </w:docVars>
  <w:rsids>
    <w:rsidRoot w:val="24D2209E"/>
    <w:rsid w:val="00494ACE"/>
    <w:rsid w:val="007B265A"/>
    <w:rsid w:val="00A55D11"/>
    <w:rsid w:val="00DA5D87"/>
    <w:rsid w:val="038141F9"/>
    <w:rsid w:val="05C83698"/>
    <w:rsid w:val="0A8A6F01"/>
    <w:rsid w:val="0BB574E9"/>
    <w:rsid w:val="0BC67500"/>
    <w:rsid w:val="0DF72211"/>
    <w:rsid w:val="0F227162"/>
    <w:rsid w:val="0F5C08A7"/>
    <w:rsid w:val="103F4328"/>
    <w:rsid w:val="10A62A18"/>
    <w:rsid w:val="11FF749C"/>
    <w:rsid w:val="16373051"/>
    <w:rsid w:val="165E7E7E"/>
    <w:rsid w:val="171E5694"/>
    <w:rsid w:val="174F484D"/>
    <w:rsid w:val="179A4019"/>
    <w:rsid w:val="19520625"/>
    <w:rsid w:val="1A120022"/>
    <w:rsid w:val="1AE22727"/>
    <w:rsid w:val="1C042A1F"/>
    <w:rsid w:val="1D4F5A23"/>
    <w:rsid w:val="20784C33"/>
    <w:rsid w:val="217001E2"/>
    <w:rsid w:val="22E542B8"/>
    <w:rsid w:val="246C2851"/>
    <w:rsid w:val="24D2209E"/>
    <w:rsid w:val="26B72AA4"/>
    <w:rsid w:val="28180C8B"/>
    <w:rsid w:val="2B202C91"/>
    <w:rsid w:val="2CCB451E"/>
    <w:rsid w:val="2D7D23EE"/>
    <w:rsid w:val="2DC91225"/>
    <w:rsid w:val="2DF60F5E"/>
    <w:rsid w:val="2F257DA7"/>
    <w:rsid w:val="2F80457E"/>
    <w:rsid w:val="2F974B8C"/>
    <w:rsid w:val="302B5A68"/>
    <w:rsid w:val="30986AF1"/>
    <w:rsid w:val="33D7640C"/>
    <w:rsid w:val="349E5471"/>
    <w:rsid w:val="38474F05"/>
    <w:rsid w:val="38D526E1"/>
    <w:rsid w:val="394B75AF"/>
    <w:rsid w:val="3C2B5111"/>
    <w:rsid w:val="3D626373"/>
    <w:rsid w:val="3DA7680A"/>
    <w:rsid w:val="3E0A3BC7"/>
    <w:rsid w:val="439F2BD5"/>
    <w:rsid w:val="455467A5"/>
    <w:rsid w:val="461E3079"/>
    <w:rsid w:val="46A139FD"/>
    <w:rsid w:val="47D531F0"/>
    <w:rsid w:val="47F530F6"/>
    <w:rsid w:val="481007AD"/>
    <w:rsid w:val="49E17296"/>
    <w:rsid w:val="4AC86916"/>
    <w:rsid w:val="4B97516C"/>
    <w:rsid w:val="4D8E366A"/>
    <w:rsid w:val="4DA23720"/>
    <w:rsid w:val="4DD454D1"/>
    <w:rsid w:val="4E8C54B1"/>
    <w:rsid w:val="4EC10F8B"/>
    <w:rsid w:val="4EDA651C"/>
    <w:rsid w:val="4FAD5E6E"/>
    <w:rsid w:val="4FDE15A9"/>
    <w:rsid w:val="503C735D"/>
    <w:rsid w:val="50612E6B"/>
    <w:rsid w:val="51051655"/>
    <w:rsid w:val="51277097"/>
    <w:rsid w:val="51983E64"/>
    <w:rsid w:val="52816664"/>
    <w:rsid w:val="52A05BEE"/>
    <w:rsid w:val="52A13E2E"/>
    <w:rsid w:val="53752863"/>
    <w:rsid w:val="54394300"/>
    <w:rsid w:val="54D97240"/>
    <w:rsid w:val="56EE5A80"/>
    <w:rsid w:val="58346B6C"/>
    <w:rsid w:val="59017396"/>
    <w:rsid w:val="5ADD0B89"/>
    <w:rsid w:val="62A019CE"/>
    <w:rsid w:val="63B25E95"/>
    <w:rsid w:val="63D74F7B"/>
    <w:rsid w:val="6604073B"/>
    <w:rsid w:val="66102866"/>
    <w:rsid w:val="66D31996"/>
    <w:rsid w:val="68025440"/>
    <w:rsid w:val="688F3EA6"/>
    <w:rsid w:val="69887333"/>
    <w:rsid w:val="6A454942"/>
    <w:rsid w:val="6B8D689A"/>
    <w:rsid w:val="6C445178"/>
    <w:rsid w:val="6C97174C"/>
    <w:rsid w:val="6CFB554B"/>
    <w:rsid w:val="6E34121C"/>
    <w:rsid w:val="6E5F098F"/>
    <w:rsid w:val="6EFE6B64"/>
    <w:rsid w:val="6FF941E7"/>
    <w:rsid w:val="70B2124A"/>
    <w:rsid w:val="735E1713"/>
    <w:rsid w:val="75881A8D"/>
    <w:rsid w:val="782E6441"/>
    <w:rsid w:val="78C338C8"/>
    <w:rsid w:val="7B007056"/>
    <w:rsid w:val="7C0B180E"/>
    <w:rsid w:val="7C59717C"/>
    <w:rsid w:val="7D3B1B2A"/>
    <w:rsid w:val="7F2006B1"/>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3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autoRedefine/>
    <w:qFormat/>
    <w:uiPriority w:val="0"/>
    <w:pPr>
      <w:keepNext/>
      <w:keepLines/>
      <w:spacing w:before="120" w:after="120" w:line="360" w:lineRule="auto"/>
      <w:outlineLvl w:val="3"/>
    </w:pPr>
    <w:rPr>
      <w:rFonts w:ascii="Arial" w:hAnsi="Arial" w:eastAsia="宋体" w:cs="Times New Roman"/>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7">
    <w:name w:val="table of authorities"/>
    <w:next w:val="1"/>
    <w:autoRedefine/>
    <w:qFormat/>
    <w:uiPriority w:val="0"/>
    <w:pPr>
      <w:widowControl w:val="0"/>
      <w:ind w:left="420" w:leftChars="200"/>
      <w:jc w:val="both"/>
    </w:pPr>
    <w:rPr>
      <w:rFonts w:ascii="Times New Roman" w:hAnsi="Times New Roman" w:eastAsia="宋体" w:cs="Times New Roman"/>
      <w:kern w:val="2"/>
      <w:sz w:val="21"/>
      <w:lang w:val="en-US" w:eastAsia="zh-CN" w:bidi="ar-SA"/>
    </w:rPr>
  </w:style>
  <w:style w:type="paragraph" w:styleId="8">
    <w:name w:val="Normal Indent"/>
    <w:basedOn w:val="1"/>
    <w:qFormat/>
    <w:uiPriority w:val="0"/>
    <w:pPr>
      <w:ind w:firstLine="420"/>
    </w:pPr>
  </w:style>
  <w:style w:type="paragraph" w:styleId="9">
    <w:name w:val="Body Text"/>
    <w:basedOn w:val="1"/>
    <w:autoRedefine/>
    <w:qFormat/>
    <w:uiPriority w:val="99"/>
    <w:pPr>
      <w:spacing w:before="0" w:beforeLines="0" w:after="0" w:afterLines="0" w:line="240" w:lineRule="auto"/>
      <w:ind w:firstLine="0" w:firstLineChars="0"/>
    </w:pPr>
    <w:rPr>
      <w:rFonts w:ascii="Helvetica" w:hAnsi="Helvetica" w:eastAsia="黑体" w:cs="Times New Roman"/>
      <w:i/>
      <w:iCs/>
      <w:sz w:val="21"/>
      <w:szCs w:val="20"/>
    </w:rPr>
  </w:style>
  <w:style w:type="paragraph" w:styleId="10">
    <w:name w:val="Body Text Indent"/>
    <w:basedOn w:val="1"/>
    <w:autoRedefine/>
    <w:qFormat/>
    <w:uiPriority w:val="0"/>
    <w:pPr>
      <w:spacing w:after="120" w:afterLines="0"/>
      <w:ind w:left="420" w:leftChars="200"/>
    </w:pPr>
  </w:style>
  <w:style w:type="paragraph" w:styleId="11">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2">
    <w:name w:val="footer"/>
    <w:basedOn w:val="1"/>
    <w:link w:val="27"/>
    <w:autoRedefine/>
    <w:qFormat/>
    <w:uiPriority w:val="0"/>
    <w:pPr>
      <w:tabs>
        <w:tab w:val="center" w:pos="4513"/>
        <w:tab w:val="right" w:pos="9026"/>
      </w:tabs>
      <w:snapToGrid w:val="0"/>
      <w:jc w:val="left"/>
    </w:pPr>
    <w:rPr>
      <w:sz w:val="18"/>
      <w:szCs w:val="18"/>
    </w:rPr>
  </w:style>
  <w:style w:type="paragraph" w:styleId="13">
    <w:name w:val="header"/>
    <w:basedOn w:val="1"/>
    <w:link w:val="26"/>
    <w:autoRedefine/>
    <w:qFormat/>
    <w:uiPriority w:val="0"/>
    <w:pPr>
      <w:tabs>
        <w:tab w:val="center" w:pos="4513"/>
        <w:tab w:val="right" w:pos="902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color w:val="000000"/>
      <w:kern w:val="0"/>
      <w:sz w:val="24"/>
    </w:rPr>
  </w:style>
  <w:style w:type="paragraph" w:styleId="15">
    <w:name w:val="Title"/>
    <w:basedOn w:val="1"/>
    <w:autoRedefine/>
    <w:qFormat/>
    <w:uiPriority w:val="0"/>
    <w:pPr>
      <w:spacing w:before="240" w:after="60"/>
      <w:jc w:val="center"/>
      <w:outlineLvl w:val="0"/>
    </w:pPr>
    <w:rPr>
      <w:rFonts w:ascii="Arial" w:hAnsi="Arial" w:cs="Times New Roman"/>
      <w:b/>
      <w:sz w:val="32"/>
    </w:rPr>
  </w:style>
  <w:style w:type="paragraph" w:styleId="16">
    <w:name w:val="Body Text First Indent 2"/>
    <w:basedOn w:val="10"/>
    <w:qFormat/>
    <w:uiPriority w:val="0"/>
    <w:pPr>
      <w:spacing w:after="120" w:afterLines="0"/>
      <w:ind w:left="420" w:leftChars="200" w:firstLine="420"/>
    </w:pPr>
    <w:rPr>
      <w:rFonts w:ascii="Calibri" w:hAnsi="Calibri" w:eastAsia="宋体" w:cs="Times New Roman"/>
      <w:sz w:val="21"/>
      <w:szCs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customStyle="1" w:styleId="21">
    <w:name w:val="1"/>
    <w:basedOn w:val="1"/>
    <w:next w:val="10"/>
    <w:autoRedefine/>
    <w:qFormat/>
    <w:uiPriority w:val="0"/>
    <w:pPr>
      <w:widowControl w:val="0"/>
      <w:jc w:val="both"/>
    </w:pPr>
    <w:rPr>
      <w:rFonts w:ascii="宋体" w:hAnsi="Courier New"/>
      <w:kern w:val="2"/>
    </w:rPr>
  </w:style>
  <w:style w:type="paragraph" w:customStyle="1" w:styleId="22">
    <w:name w:val="font5"/>
    <w:basedOn w:val="1"/>
    <w:autoRedefine/>
    <w:qFormat/>
    <w:uiPriority w:val="0"/>
    <w:pPr>
      <w:spacing w:before="100" w:beforeLines="0" w:beforeAutospacing="1" w:after="100" w:afterLines="0" w:afterAutospacing="1"/>
    </w:pPr>
    <w:rPr>
      <w:rFonts w:ascii="宋体" w:hAnsi="宋体" w:cs="宋体"/>
      <w:sz w:val="18"/>
      <w:szCs w:val="18"/>
    </w:rPr>
  </w:style>
  <w:style w:type="paragraph" w:customStyle="1" w:styleId="23">
    <w:name w:val="表格文字"/>
    <w:basedOn w:val="1"/>
    <w:autoRedefine/>
    <w:qFormat/>
    <w:uiPriority w:val="0"/>
    <w:pPr>
      <w:spacing w:before="25" w:after="25"/>
    </w:pPr>
    <w:rPr>
      <w:bCs/>
      <w:spacing w:val="10"/>
      <w:kern w:val="0"/>
    </w:rPr>
  </w:style>
  <w:style w:type="paragraph" w:customStyle="1" w:styleId="24">
    <w:name w:val="Default"/>
    <w:autoRedefine/>
    <w:qFormat/>
    <w:uiPriority w:val="0"/>
    <w:pPr>
      <w:autoSpaceDE w:val="0"/>
      <w:autoSpaceDN w:val="0"/>
      <w:adjustRightInd w:val="0"/>
    </w:pPr>
    <w:rPr>
      <w:rFonts w:ascii="Calibri" w:hAnsi="Calibri" w:eastAsia="宋体" w:cs="Calibri"/>
      <w:color w:val="000000"/>
      <w:sz w:val="24"/>
      <w:szCs w:val="24"/>
      <w:lang w:val="en-US" w:eastAsia="zh-CN" w:bidi="ar-SA"/>
    </w:rPr>
  </w:style>
  <w:style w:type="paragraph" w:styleId="25">
    <w:name w:val="No Spacing"/>
    <w:autoRedefine/>
    <w:qFormat/>
    <w:uiPriority w:val="1"/>
    <w:rPr>
      <w:rFonts w:ascii="Calibri" w:hAnsi="Calibri" w:eastAsia="宋体" w:cs="Times New Roman"/>
      <w:sz w:val="22"/>
      <w:szCs w:val="22"/>
      <w:lang w:val="en-US" w:eastAsia="zh-CN" w:bidi="ar-SA"/>
    </w:rPr>
  </w:style>
  <w:style w:type="character" w:customStyle="1" w:styleId="26">
    <w:name w:val="页眉 字符"/>
    <w:basedOn w:val="19"/>
    <w:link w:val="13"/>
    <w:autoRedefine/>
    <w:qFormat/>
    <w:uiPriority w:val="0"/>
    <w:rPr>
      <w:rFonts w:ascii="Calibri" w:hAnsi="Calibri" w:eastAsia="宋体" w:cs="Times New Roman"/>
      <w:kern w:val="2"/>
      <w:sz w:val="18"/>
      <w:szCs w:val="18"/>
    </w:rPr>
  </w:style>
  <w:style w:type="character" w:customStyle="1" w:styleId="27">
    <w:name w:val="页脚 字符"/>
    <w:basedOn w:val="19"/>
    <w:link w:val="12"/>
    <w:autoRedefine/>
    <w:qFormat/>
    <w:uiPriority w:val="0"/>
    <w:rPr>
      <w:rFonts w:ascii="Calibri" w:hAnsi="Calibri" w:eastAsia="宋体" w:cs="Times New Roman"/>
      <w:kern w:val="2"/>
      <w:sz w:val="18"/>
      <w:szCs w:val="18"/>
    </w:rPr>
  </w:style>
  <w:style w:type="paragraph" w:customStyle="1" w:styleId="28">
    <w:name w:val="Body text|1"/>
    <w:basedOn w:val="1"/>
    <w:autoRedefine/>
    <w:qFormat/>
    <w:uiPriority w:val="0"/>
    <w:pPr>
      <w:widowControl w:val="0"/>
      <w:shd w:val="clear" w:color="auto" w:fill="auto"/>
      <w:spacing w:after="380"/>
      <w:jc w:val="center"/>
    </w:pPr>
    <w:rPr>
      <w:rFonts w:ascii="宋体" w:hAnsi="宋体" w:eastAsia="宋体" w:cs="宋体"/>
      <w:color w:val="64676B"/>
      <w:sz w:val="30"/>
      <w:szCs w:val="30"/>
      <w:u w:val="none"/>
      <w:shd w:val="clear" w:color="auto" w:fill="auto"/>
      <w:lang w:val="zh-TW" w:eastAsia="zh-TW" w:bidi="zh-TW"/>
    </w:rPr>
  </w:style>
  <w:style w:type="paragraph" w:customStyle="1" w:styleId="29">
    <w:name w:val="Other|1"/>
    <w:basedOn w:val="1"/>
    <w:autoRedefine/>
    <w:qFormat/>
    <w:uiPriority w:val="0"/>
    <w:pPr>
      <w:widowControl w:val="0"/>
      <w:shd w:val="clear" w:color="auto" w:fill="auto"/>
    </w:pPr>
    <w:rPr>
      <w:rFonts w:ascii="宋体" w:hAnsi="宋体" w:eastAsia="宋体" w:cs="宋体"/>
      <w:color w:val="7D7E84"/>
      <w:sz w:val="20"/>
      <w:szCs w:val="20"/>
      <w:u w:val="none"/>
      <w:shd w:val="clear" w:color="auto" w:fill="auto"/>
      <w:lang w:val="zh-TW" w:eastAsia="zh-TW" w:bidi="zh-TW"/>
    </w:rPr>
  </w:style>
  <w:style w:type="paragraph" w:styleId="30">
    <w:name w:val="List Paragraph"/>
    <w:basedOn w:val="1"/>
    <w:autoRedefine/>
    <w:qFormat/>
    <w:uiPriority w:val="34"/>
    <w:pPr>
      <w:ind w:firstLine="420" w:firstLineChars="200"/>
    </w:pPr>
  </w:style>
  <w:style w:type="paragraph" w:customStyle="1" w:styleId="31">
    <w:name w:val="null3"/>
    <w:autoRedefine/>
    <w:hidden/>
    <w:qFormat/>
    <w:uiPriority w:val="0"/>
    <w:rPr>
      <w:rFonts w:hint="eastAsia" w:asciiTheme="minorHAnsi" w:hAnsiTheme="minorHAnsi" w:eastAsiaTheme="minorEastAsia" w:cstheme="minorBidi"/>
      <w:kern w:val="0"/>
      <w:sz w:val="20"/>
      <w:szCs w:val="20"/>
      <w:lang w:val="en-US" w:eastAsia="zh-Hans" w:bidi="ar-SA"/>
    </w:rPr>
  </w:style>
  <w:style w:type="paragraph" w:customStyle="1" w:styleId="32">
    <w:name w:val="正文_0"/>
    <w:autoRedefine/>
    <w:qFormat/>
    <w:uiPriority w:val="0"/>
    <w:pPr>
      <w:widowControl w:val="0"/>
      <w:jc w:val="both"/>
    </w:pPr>
    <w:rPr>
      <w:rFonts w:ascii="Times New Roman" w:hAnsi="Times New Roman" w:eastAsia="微软雅黑" w:cs="Times New Roman"/>
      <w:kern w:val="2"/>
      <w:sz w:val="21"/>
      <w:lang w:val="en-US" w:eastAsia="zh-CN" w:bidi="ar-SA"/>
    </w:rPr>
  </w:style>
  <w:style w:type="paragraph" w:customStyle="1" w:styleId="33">
    <w:name w:val="Plain Text"/>
    <w:basedOn w:val="1"/>
    <w:qFormat/>
    <w:uiPriority w:val="0"/>
    <w:rPr>
      <w:rFonts w:ascii="宋体" w:hAnsi="Courier New"/>
      <w:sz w:val="24"/>
      <w:szCs w:val="20"/>
    </w:rPr>
  </w:style>
  <w:style w:type="paragraph" w:customStyle="1" w:styleId="34">
    <w:name w:val="Date"/>
    <w:basedOn w:val="1"/>
    <w:next w:val="1"/>
    <w:qFormat/>
    <w:uiPriority w:val="0"/>
    <w:rPr>
      <w:rFonts w:ascii="Arial" w:hAnsi="Arial" w:eastAsia="KaiTi_GB2312"/>
      <w:sz w:val="28"/>
      <w:szCs w:val="20"/>
    </w:rPr>
  </w:style>
  <w:style w:type="paragraph" w:customStyle="1" w:styleId="35">
    <w:name w:val="列出段落1"/>
    <w:basedOn w:val="1"/>
    <w:qFormat/>
    <w:uiPriority w:val="34"/>
    <w:pPr>
      <w:ind w:firstLine="420" w:firstLineChars="200"/>
      <w:jc w:val="left"/>
    </w:pPr>
    <w:rPr>
      <w:rFonts w:ascii="Courier New" w:hAnsi="Courier New"/>
      <w:snapToGrid w:val="0"/>
      <w:kern w:val="0"/>
      <w:sz w:val="24"/>
      <w:szCs w:val="20"/>
      <w:lang w:eastAsia="en-US"/>
    </w:rPr>
  </w:style>
  <w:style w:type="character" w:customStyle="1" w:styleId="36">
    <w:name w:val="标题 2 Char"/>
    <w:basedOn w:val="19"/>
    <w:link w:val="4"/>
    <w:autoRedefine/>
    <w:qFormat/>
    <w:uiPriority w:val="9"/>
    <w:rPr>
      <w:rFonts w:ascii="Arial" w:hAnsi="Arial" w:eastAsia="黑体"/>
      <w:b/>
      <w:bCs/>
      <w:sz w:val="32"/>
      <w:szCs w:val="32"/>
    </w:rPr>
  </w:style>
  <w:style w:type="paragraph" w:customStyle="1" w:styleId="37">
    <w:name w:val="p15"/>
    <w:basedOn w:val="1"/>
    <w:qFormat/>
    <w:uiPriority w:val="0"/>
    <w:pPr>
      <w:adjustRightInd w:val="0"/>
    </w:pPr>
    <w:rPr>
      <w:rFonts w:ascii="Arial Unicode MS" w:hAnsi="Arial Unicode MS" w:cs="宋体"/>
      <w:color w:val="00000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1282</Words>
  <Characters>1382</Characters>
  <Lines>8</Lines>
  <Paragraphs>2</Paragraphs>
  <TotalTime>1</TotalTime>
  <ScaleCrop>false</ScaleCrop>
  <LinksUpToDate>false</LinksUpToDate>
  <CharactersWithSpaces>1459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2023-07-10T10:50:00Z</dcterms:created>
  <dc:creator>农人</dc:creator>
  <cp:lastModifiedBy>Lenovo</cp:lastModifiedBy>
  <dcterms:modified xsi:type="dcterms:W3CDTF">2026-08-20T01:22:22Z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C98372EA3DF84C10863013AB430BDAE8_13</vt:lpwstr>
  </property>
  <property fmtid="{D5CDD505-2E9C-101B-9397-08002B2CF9AE}" pid="4" name="KSOTemplateDocerSaveRecord">
    <vt:lpwstr>eyJoZGlkIjoiYTdkMmIyYTI2MzcyMWVlODE3NzFkODA4NjE2MDVlYjUiLCJ1c2VySWQiOiIxNzg1OTc3ODg3In0=</vt:lpwstr>
  </property>
</Properties>
</file>