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项目名称：贵州航天医院临床科室标本运送项目劳务服务公司遴选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E7C9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4A7AC">
            <w:pPr>
              <w:ind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遴选数量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1家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预算金额：46.2 万元/年</w:t>
            </w:r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ind w:firstLine="480" w:firstLineChars="200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最高限价：46.2 万元/年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购需求：遴选一家临床科室标本运送项目劳务服务公司；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评分方法见附件1，详细采购要求见附件2。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（一）具有中华人民共和国独立法人资格，具有独立履约能力（投标函、法定代表人身份证明、授权委托书）；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（二）具有与项目相适应的物业服务经验（营业执照、税务登记证、组织机构代码证（或三证合一））；</w:t>
            </w:r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（三）具有良好的社会信誉；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9370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（四）近1年财务审计报告（需体现盈利）；</w:t>
            </w:r>
          </w:p>
        </w:tc>
      </w:tr>
      <w:tr w14:paraId="73C3D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485A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（五）近3个月纳税和社保缴纳证明；</w:t>
            </w:r>
          </w:p>
        </w:tc>
      </w:tr>
      <w:tr w14:paraId="0536E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17D9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（六）类似项目业绩证明（合同关键页+验收报告复印件）。</w:t>
            </w:r>
          </w:p>
        </w:tc>
      </w:tr>
      <w:tr w14:paraId="299F9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5CA2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（七）技术部分</w:t>
            </w:r>
          </w:p>
          <w:p w14:paraId="2976FDF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1.服务方案（含人员配置表、车辆设备清单、运送路线规划图）；</w:t>
            </w:r>
          </w:p>
          <w:p w14:paraId="0CAC037C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白班:9人，早上8点至下午17点，每个员工负责4-6个科室；</w:t>
            </w:r>
          </w:p>
          <w:p w14:paraId="6F7365C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晚班:2个，下午17点至次日早上8点；</w:t>
            </w:r>
          </w:p>
          <w:p w14:paraId="47ED3702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另需管理人员至少1名。共计12名人员配置。</w:t>
            </w:r>
          </w:p>
          <w:p w14:paraId="29EEDAC3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2.医疗标本/药品、病历档案等的操作规范（需细化分类、包装、交接流程）；其他科室需要的的临时任务:科室物品、药品拆借等物品传递，公共区域卫生保洁等；</w:t>
            </w:r>
          </w:p>
          <w:p w14:paraId="412CC433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3.应急预案（包括标本丢失、车辆故障、人员短缺、突发公共卫生事件场景）。</w:t>
            </w:r>
          </w:p>
          <w:p w14:paraId="2FF00551">
            <w:pPr>
              <w:widowControl/>
              <w:ind w:firstLine="240" w:firstLineChars="1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（八）价格部分：</w:t>
            </w:r>
          </w:p>
          <w:p w14:paraId="00E312EF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投标报价表（需分项报价：人员工资、车辆运维、管理费用等）。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3CD18ABB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15C3272A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C55B709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60C35B33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8D4EDD3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7E23C64A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167BA399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4F0801A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08F76F3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7F8FE1D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1CAACF3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1CD37BD6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A4E727D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358DC615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A91C81B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6B38475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D4FB766">
      <w:pPr>
        <w:jc w:val="left"/>
        <w:rPr>
          <w:rFonts w:hint="default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附件1：评分方法</w:t>
      </w:r>
    </w:p>
    <w:tbl>
      <w:tblPr>
        <w:tblStyle w:val="10"/>
        <w:tblW w:w="11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3855"/>
        <w:gridCol w:w="1725"/>
        <w:gridCol w:w="1575"/>
        <w:gridCol w:w="1800"/>
      </w:tblGrid>
      <w:tr w14:paraId="393C5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22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FE0D98"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贵州航天医院项目竞争性磋商综合评分表</w:t>
            </w:r>
          </w:p>
        </w:tc>
      </w:tr>
      <w:tr w14:paraId="11E0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8A2FF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项目名称：标本运送                    开标时间：                              开标地点：</w:t>
            </w:r>
          </w:p>
        </w:tc>
      </w:tr>
      <w:tr w14:paraId="31B2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E6185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公司名称：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B938F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评分内容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1D59E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XX公司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36F72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XX公司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F531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XX公司</w:t>
            </w:r>
          </w:p>
        </w:tc>
      </w:tr>
      <w:tr w14:paraId="1665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2A56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企业资质（20分）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8D2FD">
            <w:pPr>
              <w:widowControl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提供营业执照，独立法人、人员健康证、物业服务资质等相关资质证明资料。满分10分，缺一项扣2.5分。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7484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40A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FB8A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2A0B2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3DB45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E74DF6">
            <w:pPr>
              <w:widowControl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提供2025年财务报表(成立不满1年的企业提供近三个月的财务报表)10分，未提供不得分。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9B9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EDC51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82F3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7373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7B2C1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服务能力（25分）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F98F05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人员配置（10分）：配送员满足要求（每少1人扣2分）；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75BE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322B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3753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1BA6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3A8C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250097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设备配备（10分）：车辆数量、类型符合要求（每少1辆扣3分）；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13E2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7BC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6B2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 w14:paraId="733B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A620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591B30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类似项目经验（5分）：每提供1个案例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得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1分（最高5分）。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56E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8A24A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3321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 w14:paraId="53CB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13E5C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价格方面（20分）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678CAA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价格最低单位得满分，其他单位报价得分=(最低单位报价/该投标单位报价)*20。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3283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3352C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26CD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39FF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407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技术方案（20分）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C6FF8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服务方案完整性（10分）：覆盖招标文件所有服务内容，无重大遗漏；</w:t>
            </w:r>
          </w:p>
          <w:p w14:paraId="119D0657">
            <w:pPr>
              <w:widowControl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较好：8-10分；一般:5-7分；较差：0-4分。</w:t>
            </w:r>
          </w:p>
          <w:p w14:paraId="53D034A4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应急预案可行性（10分）：包含至少2种突发事件场景，响应措施具体（如标本丢失、突发公共卫生事件、备用车辆调度、人员替补方案）。</w:t>
            </w:r>
          </w:p>
          <w:p w14:paraId="54E24172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较好：8-10分；一般:5-7分；较差：0-4分。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5F5A1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7B9F4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81D4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4871E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21811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服务响应时效（10分）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FD66D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承诺响应时间（5分）：设备故障≦1小时响应，人员短缺≦1小时补充（每延迟1小时扣1分）；</w:t>
            </w:r>
          </w:p>
          <w:p w14:paraId="6A64FBAE">
            <w:pPr>
              <w:widowControl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培训方案（5分）：提供免费培训，含科室操作培训、系统使用培训（缺一项扣2.5分）。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19AF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8DFA2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EF81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  <w:tr w14:paraId="08E6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1374F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廉洁方面（5分）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0FA3F8">
            <w:pPr>
              <w:widowControl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提供参加采购活动前3年内在经营活动中没有重大违法记录的书面声明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。（提供得5分，不提供不得分）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F0A9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6E923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AA36C">
            <w:pPr>
              <w:widowControl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3A80119">
      <w:pPr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0040FE1">
      <w:pPr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61797212">
      <w:pPr>
        <w:pStyle w:val="8"/>
        <w:spacing w:before="0" w:beforeAutospacing="0" w:after="0" w:afterAutospacing="0" w:line="440" w:lineRule="exact"/>
        <w:jc w:val="left"/>
        <w:rPr>
          <w:rFonts w:hint="default" w:ascii="仿宋" w:hAnsi="仿宋" w:eastAsia="仿宋" w:cs="宋体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Cs/>
          <w:sz w:val="28"/>
          <w:szCs w:val="28"/>
          <w:lang w:val="en-US" w:eastAsia="zh-CN"/>
        </w:rPr>
        <w:t>附件2：采购要求</w:t>
      </w:r>
      <w:bookmarkStart w:id="0" w:name="_GoBack"/>
      <w:bookmarkEnd w:id="0"/>
    </w:p>
    <w:p w14:paraId="647BB037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</w:p>
    <w:p w14:paraId="4C23CE6D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一、服务内容：</w:t>
      </w:r>
    </w:p>
    <w:p w14:paraId="56ABCE86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运送服务项目覆盖：门急诊楼、外科综合大楼、呼吸综合楼、医技楼、体检中心、肺传楼、发热门诊的标本运送（血液、尿液、病历标本）、药品运送（不含毒麻药品）、其他临时性任务（科室设备、药品拆借等物资传递、公共区域卫生等）。</w:t>
      </w:r>
    </w:p>
    <w:p w14:paraId="5DCF0FF2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二、服务须知：</w:t>
      </w:r>
    </w:p>
    <w:p w14:paraId="1822E740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采购单位：贵州航天医院</w:t>
      </w:r>
    </w:p>
    <w:p w14:paraId="3E009E87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采购方式：竞争性磋商</w:t>
      </w:r>
    </w:p>
    <w:p w14:paraId="0288DB82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采购其他要求：拟派项目须具有一年以上物业相关工作经验。</w:t>
      </w:r>
    </w:p>
    <w:p w14:paraId="38DA00D4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服务期：本项目自合同生效之日起1年。</w:t>
      </w:r>
    </w:p>
    <w:p w14:paraId="6454A778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质量要求：</w:t>
      </w:r>
    </w:p>
    <w:p w14:paraId="4E3966F1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1.专业能力：具有物业服务经验（需提供近一年内同类项目案例，附合同关键页复印件）。</w:t>
      </w:r>
    </w:p>
    <w:p w14:paraId="26544C89">
      <w:pPr>
        <w:widowControl/>
        <w:ind w:firstLine="560" w:firstLineChars="200"/>
        <w:jc w:val="left"/>
        <w:rPr>
          <w:rFonts w:hint="default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2.人员要求：运送员：年龄[18-50岁]，持健康证；</w:t>
      </w:r>
    </w:p>
    <w:p w14:paraId="43009A95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3.设备要求：运送工具：专用标本箱、转运车</w:t>
      </w:r>
    </w:p>
    <w:p w14:paraId="15ED2FA1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三、承包意向人合格条件：</w:t>
      </w:r>
    </w:p>
    <w:p w14:paraId="37D9F47A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（一）具有中华人民共和国独立法人资格，具有独立履约能力；</w:t>
      </w:r>
    </w:p>
    <w:p w14:paraId="24917847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（二）具有与项目相适应的物业相关经验；</w:t>
      </w:r>
    </w:p>
    <w:p w14:paraId="0FA4D4C6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（三）具有良好的社会信誉；</w:t>
      </w:r>
    </w:p>
    <w:p w14:paraId="7646C7F1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四、技术部分</w:t>
      </w:r>
    </w:p>
    <w:p w14:paraId="5B88B013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1.服务方案（含人员配置表、车辆设备清单、运送路线规划图）；</w:t>
      </w:r>
    </w:p>
    <w:p w14:paraId="077D8618">
      <w:pPr>
        <w:widowControl/>
        <w:ind w:firstLine="840" w:firstLineChars="3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白班:9人，早上8点至下午17点，每个员工负责4-6个科室；</w:t>
      </w:r>
    </w:p>
    <w:p w14:paraId="7FF05810">
      <w:pPr>
        <w:widowControl/>
        <w:ind w:firstLine="840" w:firstLineChars="3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晚班:2个，下午17点至次日早上8点；</w:t>
      </w:r>
    </w:p>
    <w:p w14:paraId="5F3A430A">
      <w:pPr>
        <w:widowControl/>
        <w:ind w:firstLine="840" w:firstLineChars="300"/>
        <w:jc w:val="left"/>
        <w:rPr>
          <w:rFonts w:hint="default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另需管理人员至少1名。共计12名人员配置。</w:t>
      </w:r>
    </w:p>
    <w:p w14:paraId="3F10EADC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2.医疗标本/药品、病历档案等的操作规范（需细化分类、包装、交接流程）；其他科室需要的的临时任务:科室物品、药品拆借等物品传递，公共区域卫生保洁等；</w:t>
      </w:r>
    </w:p>
    <w:p w14:paraId="26A5AB48">
      <w:pPr>
        <w:widowControl/>
        <w:ind w:firstLine="560" w:firstLineChars="2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3.应急预案（包括标本丢失、车辆故障、人员短缺、突发公共卫生事件场景）。</w:t>
      </w:r>
    </w:p>
    <w:p w14:paraId="6BD10794">
      <w:pPr>
        <w:widowControl/>
        <w:ind w:firstLine="280" w:firstLineChars="100"/>
        <w:jc w:val="left"/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五、价格部分</w:t>
      </w:r>
    </w:p>
    <w:p w14:paraId="049481E2">
      <w:pPr>
        <w:widowControl/>
        <w:ind w:firstLine="560" w:firstLineChars="200"/>
        <w:jc w:val="left"/>
        <w:rPr>
          <w:rFonts w:hint="default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28"/>
          <w:szCs w:val="28"/>
          <w:lang w:val="en-US" w:eastAsia="zh-CN" w:bidi="ar"/>
        </w:rPr>
        <w:t>投标报价表（需分项报价：人员工资、车辆运维、管理费用等）。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967A40"/>
    <w:rsid w:val="00F46D15"/>
    <w:rsid w:val="020E3E06"/>
    <w:rsid w:val="021D314D"/>
    <w:rsid w:val="024141DC"/>
    <w:rsid w:val="02F76F90"/>
    <w:rsid w:val="034B2E38"/>
    <w:rsid w:val="04567CE7"/>
    <w:rsid w:val="053E2C54"/>
    <w:rsid w:val="058B49DF"/>
    <w:rsid w:val="06502E2E"/>
    <w:rsid w:val="07302A71"/>
    <w:rsid w:val="081A3113"/>
    <w:rsid w:val="0A474359"/>
    <w:rsid w:val="0A4C42D3"/>
    <w:rsid w:val="0B9F3DF4"/>
    <w:rsid w:val="0C751D17"/>
    <w:rsid w:val="0D571796"/>
    <w:rsid w:val="0ECD6DF7"/>
    <w:rsid w:val="0FA933C0"/>
    <w:rsid w:val="0FBD6E6C"/>
    <w:rsid w:val="0FF22FB9"/>
    <w:rsid w:val="102B0279"/>
    <w:rsid w:val="11651569"/>
    <w:rsid w:val="11895119"/>
    <w:rsid w:val="1246139A"/>
    <w:rsid w:val="13D824C6"/>
    <w:rsid w:val="1444190A"/>
    <w:rsid w:val="14B46A8F"/>
    <w:rsid w:val="1609105D"/>
    <w:rsid w:val="163F05DA"/>
    <w:rsid w:val="16E01B81"/>
    <w:rsid w:val="17716EB9"/>
    <w:rsid w:val="179922EA"/>
    <w:rsid w:val="1BDD3A15"/>
    <w:rsid w:val="1D5F7F07"/>
    <w:rsid w:val="1DF1305D"/>
    <w:rsid w:val="1E933BB9"/>
    <w:rsid w:val="2059673D"/>
    <w:rsid w:val="20A933D4"/>
    <w:rsid w:val="22E91FFA"/>
    <w:rsid w:val="23664E49"/>
    <w:rsid w:val="23783F08"/>
    <w:rsid w:val="24B623B0"/>
    <w:rsid w:val="24C525F3"/>
    <w:rsid w:val="25382DC5"/>
    <w:rsid w:val="27A71D1F"/>
    <w:rsid w:val="27BF3329"/>
    <w:rsid w:val="27C923FA"/>
    <w:rsid w:val="28626115"/>
    <w:rsid w:val="28FF03FE"/>
    <w:rsid w:val="29424212"/>
    <w:rsid w:val="2A5306A1"/>
    <w:rsid w:val="2A77438F"/>
    <w:rsid w:val="2BF6759A"/>
    <w:rsid w:val="2D23184C"/>
    <w:rsid w:val="2D3C366E"/>
    <w:rsid w:val="2D850E81"/>
    <w:rsid w:val="2E094915"/>
    <w:rsid w:val="2EDB6D2D"/>
    <w:rsid w:val="2F854E58"/>
    <w:rsid w:val="2FD8767E"/>
    <w:rsid w:val="30E20088"/>
    <w:rsid w:val="32222E32"/>
    <w:rsid w:val="32B048E2"/>
    <w:rsid w:val="32D87995"/>
    <w:rsid w:val="33DF3513"/>
    <w:rsid w:val="347322B4"/>
    <w:rsid w:val="35270760"/>
    <w:rsid w:val="36883480"/>
    <w:rsid w:val="38122627"/>
    <w:rsid w:val="384542BC"/>
    <w:rsid w:val="388258F2"/>
    <w:rsid w:val="392751D2"/>
    <w:rsid w:val="3971644D"/>
    <w:rsid w:val="3A015A23"/>
    <w:rsid w:val="3B09472C"/>
    <w:rsid w:val="3B761D0E"/>
    <w:rsid w:val="3EA3354D"/>
    <w:rsid w:val="3F7F7B16"/>
    <w:rsid w:val="42175028"/>
    <w:rsid w:val="431E7646"/>
    <w:rsid w:val="43FA3C0F"/>
    <w:rsid w:val="440E1469"/>
    <w:rsid w:val="442C0618"/>
    <w:rsid w:val="44692B43"/>
    <w:rsid w:val="45AC0F39"/>
    <w:rsid w:val="45BB117C"/>
    <w:rsid w:val="465F5FAB"/>
    <w:rsid w:val="46A71700"/>
    <w:rsid w:val="47531003"/>
    <w:rsid w:val="4B334999"/>
    <w:rsid w:val="4FBC621D"/>
    <w:rsid w:val="501716A5"/>
    <w:rsid w:val="50FE3E8B"/>
    <w:rsid w:val="5288688A"/>
    <w:rsid w:val="569C2904"/>
    <w:rsid w:val="56E822F9"/>
    <w:rsid w:val="592E25D7"/>
    <w:rsid w:val="5AD92379"/>
    <w:rsid w:val="5B9938B6"/>
    <w:rsid w:val="5BCD3E44"/>
    <w:rsid w:val="5E1D5BB8"/>
    <w:rsid w:val="618B1EF3"/>
    <w:rsid w:val="61F335F4"/>
    <w:rsid w:val="627B3D15"/>
    <w:rsid w:val="651B358E"/>
    <w:rsid w:val="65E010F3"/>
    <w:rsid w:val="66CD08B8"/>
    <w:rsid w:val="67957627"/>
    <w:rsid w:val="67EC1211"/>
    <w:rsid w:val="68703BF0"/>
    <w:rsid w:val="694F5430"/>
    <w:rsid w:val="6D5D539B"/>
    <w:rsid w:val="6E641258"/>
    <w:rsid w:val="6FC253A0"/>
    <w:rsid w:val="6FE70C3C"/>
    <w:rsid w:val="701A7C20"/>
    <w:rsid w:val="72DD0F04"/>
    <w:rsid w:val="72F33ECE"/>
    <w:rsid w:val="72F773E8"/>
    <w:rsid w:val="73F92CEC"/>
    <w:rsid w:val="7422425C"/>
    <w:rsid w:val="75475CD9"/>
    <w:rsid w:val="769A4640"/>
    <w:rsid w:val="770F2826"/>
    <w:rsid w:val="77306B9A"/>
    <w:rsid w:val="79652DD0"/>
    <w:rsid w:val="7A6335B5"/>
    <w:rsid w:val="7A681AC4"/>
    <w:rsid w:val="7AD13515"/>
    <w:rsid w:val="7BBB190C"/>
    <w:rsid w:val="7C423286"/>
    <w:rsid w:val="7C477787"/>
    <w:rsid w:val="7CB1685A"/>
    <w:rsid w:val="7D5316BF"/>
    <w:rsid w:val="7D637428"/>
    <w:rsid w:val="7EC35C51"/>
    <w:rsid w:val="7F11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4">
    <w:name w:val="标题 3 Char"/>
    <w:link w:val="3"/>
    <w:qFormat/>
    <w:uiPriority w:val="0"/>
    <w:rPr>
      <w:b/>
      <w:sz w:val="32"/>
    </w:rPr>
  </w:style>
  <w:style w:type="paragraph" w:styleId="15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81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2017</Words>
  <Characters>2105</Characters>
  <Lines>0</Lines>
  <Paragraphs>0</Paragraphs>
  <TotalTime>5</TotalTime>
  <ScaleCrop>false</ScaleCrop>
  <LinksUpToDate>false</LinksUpToDate>
  <CharactersWithSpaces>2197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2026-08-24T08:41:52Z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