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5000" w:type="pct"/>
        <w:jc w:val="center"/>
        <w:tblLayout w:type="fixed"/>
        <w:tblCellMar>
          <w:top w:w="0" w:type="dxa"/>
          <w:left w:w="108" w:type="dxa"/>
          <w:bottom w:w="0" w:type="dxa"/>
          <w:right w:w="108" w:type="dxa"/>
        </w:tblCellMar>
      </w:tblPr>
      <w:tblGrid>
        <w:gridCol w:w="8522"/>
      </w:tblGrid>
      <w:tr w14:paraId="3024E62F">
        <w:tblPrEx>
          <w:tblCellMar>
            <w:top w:w="0" w:type="dxa"/>
            <w:left w:w="108" w:type="dxa"/>
            <w:bottom w:w="0" w:type="dxa"/>
            <w:right w:w="108" w:type="dxa"/>
          </w:tblCellMar>
        </w:tblPrEx>
        <w:trPr>
          <w:trHeight w:val="504" w:hRule="atLeast"/>
          <w:jc w:val="center"/>
        </w:trPr>
        <w:tc>
          <w:tcPr>
            <w:tcW w:w="5000" w:type="pct"/>
            <w:tcBorders>
              <w:top w:val="nil"/>
              <w:left w:val="nil"/>
              <w:bottom w:val="nil"/>
              <w:right w:val="nil"/>
            </w:tcBorders>
            <w:noWrap/>
            <w:vAlign w:val="center"/>
          </w:tcPr>
          <w:p w14:paraId="021B3C5C">
            <w:pPr>
              <w:widowControl/>
              <w:jc w:val="center"/>
              <w:textAlignment w:val="center"/>
              <w:rPr>
                <w:rFonts w:ascii="FangSong_GB2312" w:hAnsi="FangSong_GB2312" w:eastAsia="FangSong_GB2312" w:cs="FangSong_GB2312"/>
                <w:b/>
                <w:bCs/>
                <w:color w:val="000000"/>
                <w:sz w:val="24"/>
              </w:rPr>
            </w:pPr>
            <w:r>
              <w:rPr>
                <w:rFonts w:hint="eastAsia" w:ascii="FangSong_GB2312" w:hAnsi="FangSong_GB2312" w:eastAsia="FangSong_GB2312" w:cs="FangSong_GB2312"/>
                <w:b/>
                <w:bCs/>
                <w:color w:val="000000"/>
                <w:kern w:val="0"/>
                <w:sz w:val="28"/>
                <w:szCs w:val="28"/>
                <w:lang w:bidi="ar"/>
              </w:rPr>
              <w:t>贵州航天医院</w:t>
            </w:r>
            <w:r>
              <w:rPr>
                <w:rFonts w:hint="eastAsia" w:ascii="FangSong_GB2312" w:hAnsi="FangSong_GB2312" w:eastAsia="FangSong_GB2312" w:cs="FangSong_GB2312"/>
                <w:b/>
                <w:bCs/>
                <w:color w:val="000000"/>
                <w:kern w:val="0"/>
                <w:sz w:val="28"/>
                <w:szCs w:val="28"/>
                <w:lang w:val="en-US" w:eastAsia="zh-CN" w:bidi="ar"/>
              </w:rPr>
              <w:t>竞争性磋商二次</w:t>
            </w:r>
            <w:r>
              <w:rPr>
                <w:rFonts w:hint="eastAsia" w:ascii="FangSong_GB2312" w:hAnsi="FangSong_GB2312" w:eastAsia="FangSong_GB2312" w:cs="FangSong_GB2312"/>
                <w:b/>
                <w:bCs/>
                <w:color w:val="000000"/>
                <w:kern w:val="0"/>
                <w:sz w:val="28"/>
                <w:szCs w:val="28"/>
                <w:lang w:bidi="ar"/>
              </w:rPr>
              <w:t>公告</w:t>
            </w:r>
            <w:bookmarkStart w:id="1" w:name="_GoBack"/>
            <w:bookmarkEnd w:id="1"/>
          </w:p>
        </w:tc>
      </w:tr>
      <w:tr w14:paraId="08F37DA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37C146FB">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一、项目基本情况：</w:t>
            </w:r>
          </w:p>
        </w:tc>
      </w:tr>
      <w:tr w14:paraId="261E4DF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2728600">
            <w:pPr>
              <w:rPr>
                <w:rFonts w:hint="default" w:ascii="FangSong_GB2312" w:hAnsi="FangSong_GB2312" w:eastAsia="FangSong_GB2312" w:cs="FangSong_GB2312"/>
                <w:color w:val="000000"/>
                <w:sz w:val="24"/>
                <w:lang w:val="en-US"/>
              </w:rPr>
            </w:pPr>
            <w:r>
              <w:rPr>
                <w:rFonts w:hint="eastAsia" w:ascii="FangSong_GB2312" w:hAnsi="FangSong_GB2312" w:eastAsia="FangSong_GB2312" w:cs="FangSong_GB2312"/>
                <w:color w:val="000000"/>
                <w:kern w:val="0"/>
                <w:sz w:val="24"/>
                <w:lang w:bidi="ar"/>
              </w:rPr>
              <w:t xml:space="preserve">    项目名称：贵州航天医院</w:t>
            </w:r>
            <w:r>
              <w:rPr>
                <w:rFonts w:hint="eastAsia" w:ascii="FangSong_GB2312" w:hAnsi="FangSong_GB2312" w:eastAsia="FangSong_GB2312" w:cs="FangSong_GB2312"/>
                <w:color w:val="000000"/>
                <w:kern w:val="0"/>
                <w:sz w:val="24"/>
                <w:lang w:val="en-US" w:eastAsia="zh-CN" w:bidi="ar"/>
              </w:rPr>
              <w:t>慢病管理系统采购项目</w:t>
            </w:r>
          </w:p>
        </w:tc>
      </w:tr>
      <w:tr w14:paraId="4746C0D9">
        <w:tblPrEx>
          <w:tblCellMar>
            <w:top w:w="0" w:type="dxa"/>
            <w:left w:w="108" w:type="dxa"/>
            <w:bottom w:w="0" w:type="dxa"/>
            <w:right w:w="108" w:type="dxa"/>
          </w:tblCellMar>
        </w:tblPrEx>
        <w:trPr>
          <w:trHeight w:val="463" w:hRule="atLeast"/>
          <w:jc w:val="center"/>
        </w:trPr>
        <w:tc>
          <w:tcPr>
            <w:tcW w:w="5000" w:type="pct"/>
            <w:tcBorders>
              <w:top w:val="nil"/>
              <w:left w:val="nil"/>
              <w:bottom w:val="nil"/>
              <w:right w:val="nil"/>
            </w:tcBorders>
            <w:noWrap/>
            <w:vAlign w:val="center"/>
          </w:tcPr>
          <w:p w14:paraId="253F7F16">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 xml:space="preserve">    采购方式：</w:t>
            </w:r>
            <w:r>
              <w:rPr>
                <w:rFonts w:hint="eastAsia" w:ascii="FangSong_GB2312" w:hAnsi="FangSong_GB2312" w:eastAsia="FangSong_GB2312" w:cs="FangSong_GB2312"/>
                <w:color w:val="000000"/>
                <w:kern w:val="0"/>
                <w:sz w:val="24"/>
                <w:lang w:val="en-US" w:eastAsia="zh-CN" w:bidi="ar"/>
              </w:rPr>
              <w:t>竞争性磋商</w:t>
            </w:r>
          </w:p>
        </w:tc>
      </w:tr>
      <w:tr w14:paraId="21FB5D27">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04578010">
            <w:pPr>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 xml:space="preserve">    </w:t>
            </w:r>
            <w:r>
              <w:rPr>
                <w:rFonts w:hint="eastAsia" w:ascii="FangSong_GB2312" w:hAnsi="FangSong_GB2312" w:eastAsia="FangSong_GB2312" w:cs="FangSong_GB2312"/>
                <w:color w:val="000000"/>
                <w:kern w:val="0"/>
                <w:sz w:val="24"/>
                <w:lang w:bidi="ar"/>
              </w:rPr>
              <w:t>预算金额：</w:t>
            </w:r>
            <w:r>
              <w:rPr>
                <w:rFonts w:hint="eastAsia" w:ascii="FangSong_GB2312" w:hAnsi="FangSong_GB2312" w:eastAsia="FangSong_GB2312" w:cs="FangSong_GB2312"/>
                <w:color w:val="000000"/>
                <w:kern w:val="0"/>
                <w:sz w:val="24"/>
                <w:lang w:val="en-US" w:eastAsia="zh-CN" w:bidi="ar"/>
              </w:rPr>
              <w:t>48万元</w:t>
            </w:r>
          </w:p>
        </w:tc>
      </w:tr>
      <w:tr w14:paraId="6EFDEDFB">
        <w:tblPrEx>
          <w:tblCellMar>
            <w:top w:w="0" w:type="dxa"/>
            <w:left w:w="108" w:type="dxa"/>
            <w:bottom w:w="0" w:type="dxa"/>
            <w:right w:w="108" w:type="dxa"/>
          </w:tblCellMar>
        </w:tblPrEx>
        <w:trPr>
          <w:trHeight w:val="408" w:hRule="atLeast"/>
          <w:jc w:val="center"/>
        </w:trPr>
        <w:tc>
          <w:tcPr>
            <w:tcW w:w="5000" w:type="pct"/>
            <w:tcBorders>
              <w:top w:val="nil"/>
              <w:left w:val="nil"/>
              <w:bottom w:val="nil"/>
              <w:right w:val="nil"/>
            </w:tcBorders>
            <w:noWrap/>
            <w:vAlign w:val="center"/>
          </w:tcPr>
          <w:p w14:paraId="50C2371A">
            <w:pPr>
              <w:keepNext w:val="0"/>
              <w:keepLines w:val="0"/>
              <w:widowControl/>
              <w:suppressLineNumbers w:val="0"/>
              <w:ind w:firstLine="480" w:firstLineChars="200"/>
              <w:jc w:val="left"/>
              <w:rPr>
                <w:rFonts w:hint="default"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最高限价：</w:t>
            </w:r>
            <w:r>
              <w:rPr>
                <w:rFonts w:hint="eastAsia" w:ascii="FangSong_GB2312" w:hAnsi="FangSong_GB2312" w:eastAsia="FangSong_GB2312" w:cs="FangSong_GB2312"/>
                <w:color w:val="000000"/>
                <w:kern w:val="0"/>
                <w:sz w:val="24"/>
                <w:lang w:val="en-US" w:eastAsia="zh-CN" w:bidi="ar"/>
              </w:rPr>
              <w:t>48万元</w:t>
            </w:r>
          </w:p>
        </w:tc>
      </w:tr>
      <w:tr w14:paraId="07E585D1">
        <w:tblPrEx>
          <w:tblCellMar>
            <w:top w:w="0" w:type="dxa"/>
            <w:left w:w="108" w:type="dxa"/>
            <w:bottom w:w="0" w:type="dxa"/>
            <w:right w:w="108" w:type="dxa"/>
          </w:tblCellMar>
        </w:tblPrEx>
        <w:trPr>
          <w:trHeight w:val="611" w:hRule="atLeast"/>
          <w:jc w:val="center"/>
        </w:trPr>
        <w:tc>
          <w:tcPr>
            <w:tcW w:w="5000" w:type="pct"/>
            <w:tcBorders>
              <w:top w:val="nil"/>
              <w:left w:val="nil"/>
              <w:bottom w:val="nil"/>
              <w:right w:val="nil"/>
            </w:tcBorders>
            <w:noWrap/>
            <w:vAlign w:val="center"/>
          </w:tcPr>
          <w:p w14:paraId="3409BF9A">
            <w:pPr>
              <w:widowControl/>
              <w:ind w:firstLine="480" w:firstLineChars="200"/>
              <w:jc w:val="left"/>
              <w:textAlignment w:val="center"/>
              <w:rPr>
                <w:rFonts w:hint="default"/>
                <w:lang w:val="en-US" w:eastAsia="zh-CN"/>
              </w:rPr>
            </w:pPr>
            <w:r>
              <w:rPr>
                <w:rFonts w:hint="eastAsia" w:ascii="FangSong_GB2312" w:hAnsi="FangSong_GB2312" w:eastAsia="FangSong_GB2312" w:cs="FangSong_GB2312"/>
                <w:color w:val="000000"/>
                <w:kern w:val="0"/>
                <w:sz w:val="24"/>
                <w:lang w:val="en-US" w:eastAsia="zh-CN" w:bidi="ar"/>
              </w:rPr>
              <w:t>采购需求：采购一套慢病管理系统（前三年需提供免费维保，后续每年维保费不高于中标价的5%）。</w:t>
            </w:r>
            <w:r>
              <w:rPr>
                <w:rFonts w:hint="eastAsia" w:ascii="FangSong_GB2312" w:hAnsi="FangSong_GB2312" w:eastAsia="FangSong_GB2312" w:cs="FangSong_GB2312"/>
                <w:b w:val="0"/>
                <w:bCs w:val="0"/>
                <w:color w:val="000000"/>
                <w:kern w:val="0"/>
                <w:sz w:val="24"/>
                <w:lang w:val="en-US" w:eastAsia="zh-CN" w:bidi="ar"/>
              </w:rPr>
              <w:t>项目要求见附件1；评分方法见附件2；</w:t>
            </w:r>
            <w:r>
              <w:rPr>
                <w:rFonts w:hint="eastAsia" w:ascii="FangSong_GB2312" w:hAnsi="FangSong_GB2312" w:eastAsia="FangSong_GB2312" w:cs="FangSong_GB2312"/>
                <w:b/>
                <w:bCs/>
                <w:color w:val="000000"/>
                <w:kern w:val="0"/>
                <w:sz w:val="24"/>
                <w:lang w:val="en-US" w:eastAsia="zh-CN" w:bidi="ar"/>
              </w:rPr>
              <w:t>技术参数详见附件3，需提供技术参数偏离表（按模板附件4填写）</w:t>
            </w:r>
            <w:r>
              <w:rPr>
                <w:rFonts w:hint="eastAsia" w:ascii="FangSong_GB2312" w:hAnsi="FangSong_GB2312" w:eastAsia="FangSong_GB2312" w:cs="FangSong_GB2312"/>
                <w:color w:val="000000"/>
                <w:kern w:val="0"/>
                <w:sz w:val="24"/>
                <w:lang w:val="en-US" w:eastAsia="zh-CN" w:bidi="ar"/>
              </w:rPr>
              <w:t>。</w:t>
            </w:r>
          </w:p>
        </w:tc>
      </w:tr>
      <w:tr w14:paraId="38B15F84">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1C0CE5F6">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000000"/>
                <w:kern w:val="0"/>
                <w:sz w:val="24"/>
                <w:lang w:bidi="ar"/>
              </w:rPr>
              <w:t xml:space="preserve">    合同履行期限：合同签订之日起</w:t>
            </w:r>
            <w:r>
              <w:rPr>
                <w:rFonts w:hint="eastAsia" w:ascii="FangSong_GB2312" w:hAnsi="FangSong_GB2312" w:eastAsia="FangSong_GB2312" w:cs="FangSong_GB2312"/>
                <w:color w:val="000000"/>
                <w:kern w:val="0"/>
                <w:sz w:val="24"/>
                <w:lang w:val="en-US" w:eastAsia="zh-CN" w:bidi="ar"/>
              </w:rPr>
              <w:t>15个工作日内</w:t>
            </w:r>
            <w:r>
              <w:rPr>
                <w:rFonts w:hint="eastAsia" w:ascii="FangSong_GB2312" w:hAnsi="FangSong_GB2312" w:eastAsia="FangSong_GB2312" w:cs="FangSong_GB2312"/>
                <w:color w:val="000000"/>
                <w:kern w:val="0"/>
                <w:sz w:val="24"/>
                <w:lang w:bidi="ar"/>
              </w:rPr>
              <w:t>履行</w:t>
            </w:r>
            <w:r>
              <w:rPr>
                <w:rFonts w:hint="eastAsia" w:ascii="FangSong_GB2312" w:hAnsi="FangSong_GB2312" w:eastAsia="FangSong_GB2312" w:cs="FangSong_GB2312"/>
                <w:color w:val="000000"/>
                <w:kern w:val="0"/>
                <w:sz w:val="24"/>
                <w:lang w:eastAsia="zh-CN" w:bidi="ar"/>
              </w:rPr>
              <w:t>。</w:t>
            </w:r>
          </w:p>
        </w:tc>
      </w:tr>
      <w:tr w14:paraId="3DF5744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0F2E49AF">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交货地点或服务地点：贵州航天医院</w:t>
            </w:r>
          </w:p>
        </w:tc>
      </w:tr>
      <w:tr w14:paraId="7791B703">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noWrap/>
            <w:vAlign w:val="center"/>
          </w:tcPr>
          <w:p w14:paraId="24552DE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二、投标人资格要求：</w:t>
            </w:r>
          </w:p>
        </w:tc>
      </w:tr>
      <w:tr w14:paraId="62D49F3B">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5C6EFC28">
            <w:pPr>
              <w:widowControl/>
              <w:numPr>
                <w:ilvl w:val="0"/>
                <w:numId w:val="0"/>
              </w:numPr>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具备</w:t>
            </w:r>
            <w:r>
              <w:rPr>
                <w:rFonts w:hint="eastAsia" w:ascii="FangSong_GB2312" w:hAnsi="FangSong_GB2312" w:eastAsia="FangSong_GB2312" w:cs="FangSong_GB2312"/>
                <w:color w:val="000000"/>
                <w:kern w:val="0"/>
                <w:sz w:val="24"/>
                <w:lang w:bidi="ar"/>
              </w:rPr>
              <w:t>独立承担民事责任的能力，</w:t>
            </w: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如营业执照、自然人身份证明等</w:t>
            </w:r>
            <w:r>
              <w:rPr>
                <w:rFonts w:hint="eastAsia" w:ascii="FangSong_GB2312" w:hAnsi="FangSong_GB2312" w:eastAsia="FangSong_GB2312" w:cs="FangSong_GB2312"/>
                <w:color w:val="000000"/>
                <w:kern w:val="0"/>
                <w:sz w:val="24"/>
                <w:lang w:eastAsia="zh-CN" w:bidi="ar"/>
              </w:rPr>
              <w:t>。</w:t>
            </w:r>
          </w:p>
        </w:tc>
      </w:tr>
      <w:tr w14:paraId="34FBCFF4">
        <w:tblPrEx>
          <w:tblCellMar>
            <w:top w:w="0" w:type="dxa"/>
            <w:left w:w="108" w:type="dxa"/>
            <w:bottom w:w="0" w:type="dxa"/>
            <w:right w:w="108" w:type="dxa"/>
          </w:tblCellMar>
        </w:tblPrEx>
        <w:trPr>
          <w:trHeight w:val="493" w:hRule="atLeast"/>
          <w:jc w:val="center"/>
        </w:trPr>
        <w:tc>
          <w:tcPr>
            <w:tcW w:w="5000" w:type="pct"/>
            <w:tcBorders>
              <w:top w:val="nil"/>
              <w:left w:val="nil"/>
              <w:bottom w:val="nil"/>
              <w:right w:val="nil"/>
            </w:tcBorders>
            <w:vAlign w:val="center"/>
          </w:tcPr>
          <w:p w14:paraId="73C0C5B6">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具有履行合同</w:t>
            </w:r>
            <w:r>
              <w:rPr>
                <w:rFonts w:hint="eastAsia" w:ascii="FangSong_GB2312" w:hAnsi="FangSong_GB2312" w:eastAsia="FangSong_GB2312" w:cs="FangSong_GB2312"/>
                <w:color w:val="000000"/>
                <w:kern w:val="0"/>
                <w:sz w:val="24"/>
                <w:lang w:eastAsia="zh-CN" w:bidi="ar"/>
              </w:rPr>
              <w:t>所必需的</w:t>
            </w:r>
            <w:r>
              <w:rPr>
                <w:rFonts w:hint="eastAsia" w:ascii="FangSong_GB2312" w:hAnsi="FangSong_GB2312" w:eastAsia="FangSong_GB2312" w:cs="FangSong_GB2312"/>
                <w:color w:val="000000"/>
                <w:kern w:val="0"/>
                <w:sz w:val="24"/>
                <w:lang w:bidi="ar"/>
              </w:rPr>
              <w:t>能力(资料或承诺)</w:t>
            </w:r>
            <w:r>
              <w:rPr>
                <w:rFonts w:hint="eastAsia" w:ascii="FangSong_GB2312" w:hAnsi="FangSong_GB2312" w:eastAsia="FangSong_GB2312" w:cs="FangSong_GB2312"/>
                <w:color w:val="000000"/>
                <w:kern w:val="0"/>
                <w:sz w:val="24"/>
                <w:lang w:eastAsia="zh-CN" w:bidi="ar"/>
              </w:rPr>
              <w:t>。</w:t>
            </w:r>
          </w:p>
        </w:tc>
      </w:tr>
      <w:tr w14:paraId="3B87B654">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4FED95EB">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val="en-US" w:eastAsia="zh-CN" w:bidi="ar"/>
              </w:rPr>
              <w:t>提供</w:t>
            </w:r>
            <w:r>
              <w:rPr>
                <w:rFonts w:hint="eastAsia" w:ascii="FangSong_GB2312" w:hAnsi="FangSong_GB2312" w:eastAsia="FangSong_GB2312" w:cs="FangSong_GB2312"/>
                <w:color w:val="000000"/>
                <w:kern w:val="0"/>
                <w:sz w:val="24"/>
                <w:lang w:bidi="ar"/>
              </w:rPr>
              <w:t>不是失信被执行人、</w:t>
            </w:r>
            <w:r>
              <w:rPr>
                <w:rFonts w:hint="eastAsia" w:ascii="FangSong_GB2312" w:hAnsi="FangSong_GB2312" w:eastAsia="FangSong_GB2312" w:cs="FangSong_GB2312"/>
                <w:color w:val="000000"/>
                <w:kern w:val="0"/>
                <w:sz w:val="24"/>
                <w:lang w:val="en-US" w:eastAsia="zh-CN" w:bidi="ar"/>
              </w:rPr>
              <w:t>无</w:t>
            </w:r>
            <w:r>
              <w:rPr>
                <w:rFonts w:hint="eastAsia" w:ascii="FangSong_GB2312" w:hAnsi="FangSong_GB2312" w:eastAsia="FangSong_GB2312" w:cs="FangSong_GB2312"/>
                <w:color w:val="000000"/>
                <w:kern w:val="0"/>
                <w:sz w:val="24"/>
                <w:lang w:bidi="ar"/>
              </w:rPr>
              <w:t>重大税收违法案件当事人等的承诺或资料</w:t>
            </w:r>
            <w:r>
              <w:rPr>
                <w:rFonts w:hint="eastAsia" w:ascii="FangSong_GB2312" w:hAnsi="FangSong_GB2312" w:eastAsia="FangSong_GB2312" w:cs="FangSong_GB2312"/>
                <w:color w:val="000000"/>
                <w:kern w:val="0"/>
                <w:sz w:val="24"/>
                <w:lang w:eastAsia="zh-CN" w:bidi="ar"/>
              </w:rPr>
              <w:t>。</w:t>
            </w:r>
          </w:p>
        </w:tc>
      </w:tr>
      <w:tr w14:paraId="477D5069">
        <w:tblPrEx>
          <w:tblCellMar>
            <w:top w:w="0" w:type="dxa"/>
            <w:left w:w="108" w:type="dxa"/>
            <w:bottom w:w="0" w:type="dxa"/>
            <w:right w:w="108" w:type="dxa"/>
          </w:tblCellMar>
        </w:tblPrEx>
        <w:trPr>
          <w:trHeight w:val="430" w:hRule="atLeast"/>
          <w:jc w:val="center"/>
        </w:trPr>
        <w:tc>
          <w:tcPr>
            <w:tcW w:w="5000" w:type="pct"/>
            <w:tcBorders>
              <w:top w:val="nil"/>
              <w:left w:val="nil"/>
              <w:bottom w:val="nil"/>
              <w:right w:val="nil"/>
            </w:tcBorders>
            <w:vAlign w:val="center"/>
          </w:tcPr>
          <w:p w14:paraId="6E680F10">
            <w:pPr>
              <w:widowControl/>
              <w:ind w:firstLine="480" w:firstLineChars="200"/>
              <w:jc w:val="left"/>
              <w:textAlignment w:val="center"/>
              <w:rPr>
                <w:rFonts w:hint="eastAsia" w:ascii="FangSong_GB2312" w:hAnsi="FangSong_GB2312" w:eastAsia="FangSong_GB2312" w:cs="FangSong_GB2312"/>
                <w:color w:val="000000"/>
                <w:kern w:val="0"/>
                <w:sz w:val="24"/>
                <w:lang w:val="en-US" w:eastAsia="zh-CN" w:bidi="ar"/>
              </w:rPr>
            </w:pPr>
            <w:r>
              <w:rPr>
                <w:rFonts w:hint="eastAsia" w:ascii="FangSong_GB2312" w:hAnsi="FangSong_GB2312" w:eastAsia="FangSong_GB2312" w:cs="FangSong_GB2312"/>
                <w:color w:val="000000"/>
                <w:kern w:val="0"/>
                <w:sz w:val="24"/>
                <w:lang w:bidi="ar"/>
              </w:rPr>
              <w:t>是否接受联合体投标:否</w:t>
            </w:r>
          </w:p>
        </w:tc>
      </w:tr>
      <w:tr w14:paraId="735CB407">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E014EA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三、获取采购文件</w:t>
            </w:r>
          </w:p>
        </w:tc>
      </w:tr>
      <w:tr w14:paraId="08815170">
        <w:tblPrEx>
          <w:tblCellMar>
            <w:top w:w="0" w:type="dxa"/>
            <w:left w:w="108" w:type="dxa"/>
            <w:bottom w:w="0" w:type="dxa"/>
            <w:right w:w="108" w:type="dxa"/>
          </w:tblCellMar>
        </w:tblPrEx>
        <w:trPr>
          <w:trHeight w:val="412" w:hRule="atLeast"/>
          <w:jc w:val="center"/>
        </w:trPr>
        <w:tc>
          <w:tcPr>
            <w:tcW w:w="5000" w:type="pct"/>
            <w:tcBorders>
              <w:top w:val="nil"/>
              <w:left w:val="nil"/>
              <w:bottom w:val="nil"/>
              <w:right w:val="nil"/>
            </w:tcBorders>
            <w:vAlign w:val="center"/>
          </w:tcPr>
          <w:p w14:paraId="091510A2">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时间：自本公告发布之日起</w:t>
            </w:r>
            <w:r>
              <w:rPr>
                <w:rFonts w:hint="eastAsia" w:ascii="FangSong_GB2312" w:hAnsi="FangSong_GB2312" w:eastAsia="FangSong_GB2312" w:cs="FangSong_GB2312"/>
                <w:color w:val="000000"/>
                <w:kern w:val="0"/>
                <w:sz w:val="24"/>
                <w:lang w:val="en-US" w:eastAsia="zh-CN" w:bidi="ar"/>
              </w:rPr>
              <w:t>5</w:t>
            </w:r>
            <w:r>
              <w:rPr>
                <w:rFonts w:hint="eastAsia" w:ascii="FangSong_GB2312" w:hAnsi="FangSong_GB2312" w:eastAsia="FangSong_GB2312" w:cs="FangSong_GB2312"/>
                <w:color w:val="000000"/>
                <w:kern w:val="0"/>
                <w:sz w:val="24"/>
                <w:lang w:bidi="ar"/>
              </w:rPr>
              <w:t>个工作日内</w:t>
            </w:r>
          </w:p>
        </w:tc>
      </w:tr>
      <w:tr w14:paraId="52269827">
        <w:tblPrEx>
          <w:tblCellMar>
            <w:top w:w="0" w:type="dxa"/>
            <w:left w:w="108" w:type="dxa"/>
            <w:bottom w:w="0" w:type="dxa"/>
            <w:right w:w="108" w:type="dxa"/>
          </w:tblCellMar>
        </w:tblPrEx>
        <w:trPr>
          <w:trHeight w:val="403" w:hRule="atLeast"/>
          <w:jc w:val="center"/>
        </w:trPr>
        <w:tc>
          <w:tcPr>
            <w:tcW w:w="5000" w:type="pct"/>
            <w:tcBorders>
              <w:top w:val="nil"/>
              <w:left w:val="nil"/>
              <w:bottom w:val="nil"/>
              <w:right w:val="nil"/>
            </w:tcBorders>
            <w:vAlign w:val="center"/>
          </w:tcPr>
          <w:p w14:paraId="755E3479">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获取采购文件的地点或方式：挂网公告</w:t>
            </w:r>
          </w:p>
        </w:tc>
      </w:tr>
      <w:tr w14:paraId="2C950E17">
        <w:tblPrEx>
          <w:tblCellMar>
            <w:top w:w="0" w:type="dxa"/>
            <w:left w:w="108" w:type="dxa"/>
            <w:bottom w:w="0" w:type="dxa"/>
            <w:right w:w="108" w:type="dxa"/>
          </w:tblCellMar>
        </w:tblPrEx>
        <w:trPr>
          <w:trHeight w:val="404" w:hRule="atLeast"/>
          <w:jc w:val="center"/>
        </w:trPr>
        <w:tc>
          <w:tcPr>
            <w:tcW w:w="5000" w:type="pct"/>
            <w:tcBorders>
              <w:top w:val="nil"/>
              <w:left w:val="nil"/>
              <w:bottom w:val="nil"/>
              <w:right w:val="nil"/>
            </w:tcBorders>
            <w:vAlign w:val="center"/>
          </w:tcPr>
          <w:p w14:paraId="51316E57">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000000"/>
                <w:kern w:val="0"/>
                <w:sz w:val="24"/>
                <w:lang w:bidi="ar"/>
              </w:rPr>
              <w:t xml:space="preserve">    是否交纳投标保证金（交纳方式）：否</w:t>
            </w:r>
          </w:p>
        </w:tc>
      </w:tr>
      <w:tr w14:paraId="2F1A2FB0">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E4A3AC5">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四、响应文件提交</w:t>
            </w:r>
          </w:p>
        </w:tc>
      </w:tr>
      <w:tr w14:paraId="6C2AE826">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128B92BC">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color w:val="auto"/>
                <w:kern w:val="0"/>
                <w:sz w:val="24"/>
                <w:lang w:bidi="ar"/>
              </w:rPr>
              <w:t xml:space="preserve">    截止时间：自本公告发布之日起</w:t>
            </w:r>
            <w:r>
              <w:rPr>
                <w:rFonts w:hint="eastAsia" w:ascii="FangSong_GB2312" w:hAnsi="FangSong_GB2312" w:eastAsia="FangSong_GB2312" w:cs="FangSong_GB2312"/>
                <w:color w:val="auto"/>
                <w:kern w:val="0"/>
                <w:sz w:val="24"/>
                <w:lang w:val="en-US" w:eastAsia="zh-CN" w:bidi="ar"/>
              </w:rPr>
              <w:t>5</w:t>
            </w:r>
            <w:r>
              <w:rPr>
                <w:rFonts w:hint="eastAsia" w:ascii="FangSong_GB2312" w:hAnsi="FangSong_GB2312" w:eastAsia="FangSong_GB2312" w:cs="FangSong_GB2312"/>
                <w:color w:val="auto"/>
                <w:kern w:val="0"/>
                <w:sz w:val="24"/>
                <w:lang w:bidi="ar"/>
              </w:rPr>
              <w:t>个工作日内</w:t>
            </w:r>
          </w:p>
        </w:tc>
      </w:tr>
      <w:tr w14:paraId="5929AD51">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08BBF62F">
            <w:pPr>
              <w:widowControl/>
              <w:jc w:val="left"/>
              <w:textAlignment w:val="center"/>
              <w:rPr>
                <w:rFonts w:hint="eastAsia" w:ascii="FangSong_GB2312" w:hAnsi="FangSong_GB2312" w:eastAsia="FangSong_GB2312" w:cs="FangSong_GB2312"/>
                <w:color w:val="000000"/>
                <w:kern w:val="0"/>
                <w:sz w:val="24"/>
                <w:lang w:eastAsia="zh-CN" w:bidi="ar"/>
              </w:rPr>
            </w:pPr>
            <w:r>
              <w:rPr>
                <w:rFonts w:hint="eastAsia" w:ascii="FangSong_GB2312" w:hAnsi="FangSong_GB2312" w:eastAsia="FangSong_GB2312" w:cs="FangSong_GB2312"/>
                <w:color w:val="auto"/>
                <w:kern w:val="0"/>
                <w:sz w:val="24"/>
                <w:lang w:bidi="ar"/>
              </w:rPr>
              <w:t xml:space="preserve">    地点：贵州航天医院</w:t>
            </w:r>
            <w:r>
              <w:rPr>
                <w:rFonts w:hint="eastAsia" w:ascii="FangSong_GB2312" w:hAnsi="FangSong_GB2312" w:eastAsia="FangSong_GB2312" w:cs="FangSong_GB2312"/>
                <w:color w:val="auto"/>
                <w:kern w:val="0"/>
                <w:sz w:val="24"/>
                <w:lang w:eastAsia="zh-CN" w:bidi="ar"/>
              </w:rPr>
              <w:t>外科综合楼一楼</w:t>
            </w:r>
            <w:r>
              <w:rPr>
                <w:rFonts w:hint="eastAsia" w:ascii="FangSong_GB2312" w:hAnsi="FangSong_GB2312" w:eastAsia="FangSong_GB2312" w:cs="FangSong_GB2312"/>
                <w:color w:val="auto"/>
                <w:kern w:val="0"/>
                <w:sz w:val="24"/>
                <w:lang w:val="en-US" w:eastAsia="zh-CN" w:bidi="ar"/>
              </w:rPr>
              <w:t>采购办赵老师</w:t>
            </w:r>
            <w:r>
              <w:rPr>
                <w:rFonts w:hint="eastAsia" w:ascii="FangSong_GB2312" w:hAnsi="FangSong_GB2312" w:eastAsia="FangSong_GB2312" w:cs="FangSong_GB2312"/>
                <w:color w:val="auto"/>
                <w:kern w:val="0"/>
                <w:sz w:val="24"/>
                <w:lang w:bidi="ar"/>
              </w:rPr>
              <w:t>收</w:t>
            </w:r>
          </w:p>
        </w:tc>
      </w:tr>
      <w:tr w14:paraId="73DD94C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4EF9A13">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响应文件投递方式：现场投递或邮寄投递</w:t>
            </w:r>
          </w:p>
        </w:tc>
      </w:tr>
      <w:tr w14:paraId="7A29BE9D">
        <w:tblPrEx>
          <w:tblCellMar>
            <w:top w:w="0" w:type="dxa"/>
            <w:left w:w="108" w:type="dxa"/>
            <w:bottom w:w="0" w:type="dxa"/>
            <w:right w:w="108" w:type="dxa"/>
          </w:tblCellMar>
        </w:tblPrEx>
        <w:trPr>
          <w:trHeight w:val="420" w:hRule="atLeast"/>
          <w:jc w:val="center"/>
        </w:trPr>
        <w:tc>
          <w:tcPr>
            <w:tcW w:w="5000" w:type="pct"/>
            <w:tcBorders>
              <w:top w:val="nil"/>
              <w:left w:val="nil"/>
              <w:bottom w:val="nil"/>
              <w:right w:val="nil"/>
            </w:tcBorders>
            <w:vAlign w:val="center"/>
          </w:tcPr>
          <w:p w14:paraId="25DA23E2">
            <w:pPr>
              <w:widowControl/>
              <w:ind w:firstLine="480" w:firstLineChars="200"/>
              <w:jc w:val="left"/>
              <w:textAlignment w:val="center"/>
              <w:rPr>
                <w:rFonts w:hint="eastAsia" w:ascii="FangSong_GB2312" w:hAnsi="FangSong_GB2312" w:eastAsia="FangSong_GB2312" w:cs="FangSong_GB2312"/>
                <w:color w:val="000000"/>
                <w:kern w:val="0"/>
                <w:sz w:val="24"/>
                <w:lang w:bidi="ar"/>
              </w:rPr>
            </w:pPr>
            <w:r>
              <w:rPr>
                <w:rFonts w:hint="eastAsia" w:ascii="FangSong_GB2312" w:hAnsi="FangSong_GB2312" w:eastAsia="FangSong_GB2312" w:cs="FangSong_GB2312"/>
                <w:color w:val="auto"/>
                <w:kern w:val="0"/>
                <w:sz w:val="24"/>
                <w:lang w:val="en-US" w:eastAsia="zh-CN" w:bidi="ar"/>
              </w:rPr>
              <w:t>投标人要求：需由法人或法人委托的代理人持“授权委托书”进行投递，邮寄需邮寄人为法人或代理人，代理人需附“授权委托书”。</w:t>
            </w:r>
          </w:p>
        </w:tc>
      </w:tr>
      <w:tr w14:paraId="4CFCDB20">
        <w:tblPrEx>
          <w:tblCellMar>
            <w:top w:w="0" w:type="dxa"/>
            <w:left w:w="108" w:type="dxa"/>
            <w:bottom w:w="0" w:type="dxa"/>
            <w:right w:w="108" w:type="dxa"/>
          </w:tblCellMar>
        </w:tblPrEx>
        <w:trPr>
          <w:trHeight w:val="744" w:hRule="atLeast"/>
          <w:jc w:val="center"/>
        </w:trPr>
        <w:tc>
          <w:tcPr>
            <w:tcW w:w="5000" w:type="pct"/>
            <w:tcBorders>
              <w:top w:val="nil"/>
              <w:left w:val="nil"/>
              <w:bottom w:val="nil"/>
              <w:right w:val="nil"/>
            </w:tcBorders>
            <w:vAlign w:val="center"/>
          </w:tcPr>
          <w:p w14:paraId="1B2E1E86">
            <w:pPr>
              <w:widowControl/>
              <w:ind w:firstLine="480" w:firstLineChars="200"/>
              <w:jc w:val="left"/>
              <w:textAlignment w:val="center"/>
              <w:rPr>
                <w:rFonts w:hint="default" w:ascii="FangSong_GB2312" w:hAnsi="FangSong_GB2312" w:eastAsia="FangSong_GB2312" w:cs="FangSong_GB2312"/>
                <w:color w:val="000000"/>
                <w:kern w:val="0"/>
                <w:sz w:val="24"/>
                <w:lang w:val="en-US" w:bidi="ar"/>
              </w:rPr>
            </w:pPr>
            <w:r>
              <w:rPr>
                <w:rFonts w:hint="eastAsia" w:ascii="FangSong_GB2312" w:hAnsi="FangSong_GB2312" w:eastAsia="FangSong_GB2312" w:cs="FangSong_GB2312"/>
                <w:color w:val="auto"/>
                <w:kern w:val="0"/>
                <w:sz w:val="24"/>
                <w:lang w:val="en-US" w:eastAsia="zh-CN" w:bidi="ar"/>
              </w:rPr>
              <w:t>投标文件需为</w:t>
            </w:r>
            <w:r>
              <w:rPr>
                <w:rFonts w:hint="eastAsia" w:ascii="FangSong_GB2312" w:hAnsi="FangSong_GB2312" w:eastAsia="FangSong_GB2312" w:cs="FangSong_GB2312"/>
                <w:color w:val="auto"/>
                <w:kern w:val="0"/>
                <w:sz w:val="24"/>
                <w:lang w:eastAsia="zh-CN" w:bidi="ar"/>
              </w:rPr>
              <w:t>纸质版，</w:t>
            </w:r>
            <w:r>
              <w:rPr>
                <w:rFonts w:hint="eastAsia" w:ascii="FangSong_GB2312" w:hAnsi="FangSong_GB2312" w:eastAsia="FangSong_GB2312" w:cs="FangSong_GB2312"/>
                <w:color w:val="auto"/>
                <w:kern w:val="0"/>
                <w:sz w:val="24"/>
                <w:lang w:val="en-US" w:eastAsia="zh-CN" w:bidi="ar"/>
              </w:rPr>
              <w:t>胶装成册，一正两副，内含目录及页码，密封提交；封面需标注所投项目名称。</w:t>
            </w:r>
          </w:p>
        </w:tc>
      </w:tr>
      <w:tr w14:paraId="176FD30C">
        <w:tblPrEx>
          <w:tblCellMar>
            <w:top w:w="0" w:type="dxa"/>
            <w:left w:w="108" w:type="dxa"/>
            <w:bottom w:w="0" w:type="dxa"/>
            <w:right w:w="108" w:type="dxa"/>
          </w:tblCellMar>
        </w:tblPrEx>
        <w:trPr>
          <w:trHeight w:val="443" w:hRule="atLeast"/>
          <w:jc w:val="center"/>
        </w:trPr>
        <w:tc>
          <w:tcPr>
            <w:tcW w:w="5000" w:type="pct"/>
            <w:tcBorders>
              <w:top w:val="nil"/>
              <w:left w:val="nil"/>
              <w:bottom w:val="nil"/>
              <w:right w:val="nil"/>
            </w:tcBorders>
            <w:vAlign w:val="center"/>
          </w:tcPr>
          <w:p w14:paraId="5F3F8554">
            <w:pPr>
              <w:widowControl/>
              <w:jc w:val="left"/>
              <w:textAlignment w:val="center"/>
              <w:rPr>
                <w:rFonts w:ascii="FangSong_GB2312" w:hAnsi="FangSong_GB2312" w:eastAsia="FangSong_GB2312" w:cs="FangSong_GB2312"/>
                <w:color w:val="000000"/>
                <w:sz w:val="24"/>
              </w:rPr>
            </w:pPr>
            <w:r>
              <w:rPr>
                <w:rFonts w:hint="eastAsia" w:ascii="FangSong_GB2312" w:hAnsi="FangSong_GB2312" w:eastAsia="FangSong_GB2312" w:cs="FangSong_GB2312"/>
                <w:b/>
                <w:bCs/>
                <w:color w:val="000000"/>
                <w:kern w:val="0"/>
                <w:sz w:val="24"/>
                <w:lang w:bidi="ar"/>
              </w:rPr>
              <w:t>五、联系人及联系方式：</w:t>
            </w:r>
            <w:r>
              <w:rPr>
                <w:rFonts w:hint="eastAsia" w:ascii="FangSong_GB2312" w:hAnsi="FangSong_GB2312" w:eastAsia="FangSong_GB2312" w:cs="FangSong_GB2312"/>
                <w:color w:val="000000"/>
                <w:kern w:val="0"/>
                <w:sz w:val="24"/>
                <w:lang w:val="en-US" w:eastAsia="zh-CN" w:bidi="ar"/>
              </w:rPr>
              <w:t>采购办陈老师</w:t>
            </w:r>
            <w:r>
              <w:rPr>
                <w:rFonts w:hint="eastAsia" w:ascii="FangSong_GB2312" w:hAnsi="FangSong_GB2312" w:eastAsia="FangSong_GB2312" w:cs="FangSong_GB2312"/>
                <w:color w:val="000000"/>
                <w:kern w:val="0"/>
                <w:sz w:val="24"/>
                <w:lang w:bidi="ar"/>
              </w:rPr>
              <w:t>，联系电话：0851-27677989</w:t>
            </w:r>
          </w:p>
        </w:tc>
      </w:tr>
    </w:tbl>
    <w:p w14:paraId="7025B5B7">
      <w:pPr>
        <w:rPr>
          <w:rFonts w:hint="eastAsia" w:ascii="仿宋" w:hAnsi="仿宋" w:eastAsia="仿宋"/>
          <w:bCs/>
          <w:sz w:val="28"/>
          <w:szCs w:val="28"/>
          <w:lang w:val="en-US" w:eastAsia="zh-CN"/>
        </w:rPr>
      </w:pPr>
    </w:p>
    <w:p w14:paraId="096B89E1">
      <w:pPr>
        <w:rPr>
          <w:rFonts w:hint="eastAsia" w:ascii="仿宋" w:hAnsi="仿宋" w:eastAsia="仿宋"/>
          <w:bCs/>
          <w:sz w:val="28"/>
          <w:szCs w:val="28"/>
          <w:lang w:val="en-US" w:eastAsia="zh-CN"/>
        </w:rPr>
      </w:pPr>
    </w:p>
    <w:p w14:paraId="55FB9300">
      <w:pPr>
        <w:rPr>
          <w:rFonts w:hint="eastAsia" w:ascii="仿宋" w:hAnsi="仿宋" w:eastAsia="仿宋"/>
          <w:bCs/>
          <w:sz w:val="28"/>
          <w:szCs w:val="28"/>
          <w:lang w:val="en-US" w:eastAsia="zh-CN"/>
        </w:rPr>
      </w:pPr>
    </w:p>
    <w:p w14:paraId="21787E7E">
      <w:pPr>
        <w:rPr>
          <w:rFonts w:hint="eastAsia" w:ascii="仿宋" w:hAnsi="仿宋" w:eastAsia="仿宋"/>
          <w:bCs/>
          <w:sz w:val="28"/>
          <w:szCs w:val="28"/>
          <w:lang w:val="en-US" w:eastAsia="zh-CN"/>
        </w:rPr>
      </w:pPr>
    </w:p>
    <w:p w14:paraId="0D4FB766">
      <w:pPr>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 xml:space="preserve">附件1： </w:t>
      </w:r>
    </w:p>
    <w:p w14:paraId="3E38AAB9">
      <w:pPr>
        <w:jc w:val="center"/>
        <w:rPr>
          <w:rFonts w:hint="default" w:ascii="仿宋" w:hAnsi="仿宋" w:eastAsia="仿宋"/>
          <w:b/>
          <w:bCs w:val="0"/>
          <w:sz w:val="28"/>
          <w:szCs w:val="28"/>
          <w:lang w:val="en-US" w:eastAsia="zh-CN"/>
        </w:rPr>
      </w:pPr>
      <w:r>
        <w:rPr>
          <w:rFonts w:hint="eastAsia" w:ascii="仿宋" w:hAnsi="仿宋" w:eastAsia="仿宋"/>
          <w:b/>
          <w:bCs w:val="0"/>
          <w:sz w:val="28"/>
          <w:szCs w:val="28"/>
          <w:lang w:val="en-US" w:eastAsia="zh-CN"/>
        </w:rPr>
        <w:t>项目要求</w:t>
      </w:r>
    </w:p>
    <w:p w14:paraId="6B1C8546">
      <w:pPr>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一、</w:t>
      </w:r>
      <w:r>
        <w:rPr>
          <w:rFonts w:hint="default" w:ascii="仿宋" w:hAnsi="仿宋" w:eastAsia="仿宋"/>
          <w:bCs/>
          <w:sz w:val="28"/>
          <w:szCs w:val="28"/>
          <w:lang w:val="en-US" w:eastAsia="zh-CN"/>
        </w:rPr>
        <w:t>系统商务要求</w:t>
      </w:r>
    </w:p>
    <w:p w14:paraId="7E682AE4">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1.供应商参加政府采购活动前三年内，在经营活动中没有重大违法记录： 提供参加政府采购活动前3年内在经营活动中没有重大违法记录的书面声明（若企业成立不满三年，需承诺从成立之日到本项目开标前无重大违法记录）。</w:t>
      </w:r>
    </w:p>
    <w:p w14:paraId="65DC9416">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2.中标人完成项目后，全部验收交付前，由贵州航天医院根据项目实施情况选择以下任意一种方式进行结算：①软件开发以及硬件部署等工作严格按照中标清单内容履约完成，且经贵州航天医院多部门确认无争议的，依据验收单据实结算。②软件开发以及硬件部署等工作未严格按照中标清单内容实施，或存在瑕疵与争议的，贵州航天医院有权聘请第三方审计机构，依据国家标准《软件工程软件开发成本度量规范》《软件研发成本度量规范以及配套运用指南》、中国软件行业基础数据、贵州省地方标准《软件开发费用测算规范》《软件工程NESMA功能规模测量方法》等规范，结合实际完成情况开展信息软件结算审计，最终依据审计结果进行结算。</w:t>
      </w:r>
    </w:p>
    <w:p w14:paraId="6FB17C22">
      <w:pPr>
        <w:jc w:val="left"/>
        <w:rPr>
          <w:rFonts w:hint="eastAsia" w:ascii="仿宋" w:hAnsi="仿宋" w:eastAsia="仿宋"/>
          <w:bCs/>
          <w:sz w:val="28"/>
          <w:szCs w:val="28"/>
          <w:lang w:val="en-US" w:eastAsia="zh-CN"/>
        </w:rPr>
      </w:pPr>
      <w:bookmarkStart w:id="0" w:name="_Toc15961"/>
      <w:r>
        <w:rPr>
          <w:rFonts w:hint="eastAsia" w:ascii="仿宋" w:hAnsi="仿宋" w:eastAsia="仿宋"/>
          <w:bCs/>
          <w:sz w:val="28"/>
          <w:szCs w:val="28"/>
          <w:lang w:val="en-US" w:eastAsia="zh-CN"/>
        </w:rPr>
        <w:t>二、系统构架总体要求</w:t>
      </w:r>
      <w:bookmarkEnd w:id="0"/>
    </w:p>
    <w:p w14:paraId="4E153A8B">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1.投标人应充分理解本项目的建设目标，做好项目分析和总体设计，对技术需求进行响应，以满足本次项目建设所需；</w:t>
      </w:r>
    </w:p>
    <w:p w14:paraId="0BC57F89">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2.投标人需熟悉医疗信息化的政策背景和我院信息化建设现状，并结合当前信息化建设和医院实际发展趋势，对标评审、评级要求，分析医院当前信息化所处的水平，提出符合医院实际建设和应用需求的具有针对性的整体解决方案，方案应具有标准性、先进性、实用性、可扩展性和安全性，包括但不限于架构设计、技术路线实现、项目重点难点解决方案、安全体系设计等；</w:t>
      </w:r>
    </w:p>
    <w:p w14:paraId="7A687D59">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3.整体架构规划设计应采用国内外主流SOA架构，采用分布式、多层次和松耦合结构。通过制定全院的数据标准、传输标准、安全体系，对医院的各个业务系统进行梳理和改造，完成符合国家标准的整合、交换、安全体系。从而实现患者服务精细化，以病人为中心，面向患者优化业务流程，加强患者就诊体验，提升医院整体服务质量；</w:t>
      </w:r>
    </w:p>
    <w:p w14:paraId="5A70C54D">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4.软件产品成熟稳定，具有自主知识产权，数据交互安全可靠，功能模块完备齐全，系统响应快速高效，软件操作方便快捷。既要符合应用规范，满足业务需求，又要兼顾用户体验和人性化设计；</w:t>
      </w:r>
    </w:p>
    <w:p w14:paraId="30907EDB">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5.投标人须针对本次项目组建专门的执行团队，将各分项工作落实到具体责任人，并协助医院建立协调沟通机制，以保障项目的推进和落地；</w:t>
      </w:r>
    </w:p>
    <w:p w14:paraId="493DDE78">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6.信息安全技术：系统均需通过技术手段来保障信息系统的安全性，如身份认证、受限数据访问、数字签名、数据留痕、数据日志等。</w:t>
      </w:r>
    </w:p>
    <w:p w14:paraId="7B100304">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7.数据加密应采用国产加密算法。</w:t>
      </w:r>
    </w:p>
    <w:p w14:paraId="480D10FE">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8.中标后五个工作日内，甲方有权要求进行功能性验证测试，对于虚假应标者作废标处理。</w:t>
      </w:r>
    </w:p>
    <w:p w14:paraId="7C86D4ED">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9.投标人应提供所建系统的表结构交接文档。</w:t>
      </w:r>
    </w:p>
    <w:p w14:paraId="09D5C93B">
      <w:pPr>
        <w:ind w:firstLine="560" w:firstLineChars="20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10.支持与医院现有HIS等系统数据实时互通的接口关联要求，确保业务连贯性。</w:t>
      </w:r>
    </w:p>
    <w:p w14:paraId="728DB51E">
      <w:pPr>
        <w:rPr>
          <w:rFonts w:hint="default"/>
          <w:lang w:val="en-US" w:eastAsia="zh-CN"/>
        </w:rPr>
      </w:pPr>
    </w:p>
    <w:p w14:paraId="692BB17E">
      <w:pPr>
        <w:rPr>
          <w:rFonts w:hint="default"/>
          <w:lang w:val="en-US" w:eastAsia="zh-CN"/>
        </w:rPr>
      </w:pPr>
    </w:p>
    <w:p w14:paraId="4A6647B0">
      <w:pPr>
        <w:tabs>
          <w:tab w:val="left" w:pos="5133"/>
        </w:tabs>
        <w:bidi w:val="0"/>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附件2：评分表</w:t>
      </w:r>
    </w:p>
    <w:tbl>
      <w:tblPr>
        <w:tblStyle w:val="11"/>
        <w:tblpPr w:leftFromText="180" w:rightFromText="180" w:vertAnchor="text" w:horzAnchor="page" w:tblpXSpec="center" w:tblpY="558"/>
        <w:tblOverlap w:val="never"/>
        <w:tblW w:w="101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8"/>
        <w:gridCol w:w="1945"/>
        <w:gridCol w:w="6762"/>
      </w:tblGrid>
      <w:tr w14:paraId="5AE1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2" w:hRule="atLeast"/>
          <w:jc w:val="center"/>
        </w:trPr>
        <w:tc>
          <w:tcPr>
            <w:tcW w:w="1438" w:type="dxa"/>
            <w:vAlign w:val="center"/>
          </w:tcPr>
          <w:p w14:paraId="0257F189">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评审项目</w:t>
            </w:r>
          </w:p>
        </w:tc>
        <w:tc>
          <w:tcPr>
            <w:tcW w:w="1945" w:type="dxa"/>
            <w:vAlign w:val="center"/>
          </w:tcPr>
          <w:p w14:paraId="3D9C2131">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分值</w:t>
            </w:r>
          </w:p>
        </w:tc>
        <w:tc>
          <w:tcPr>
            <w:tcW w:w="6762" w:type="dxa"/>
            <w:vAlign w:val="center"/>
          </w:tcPr>
          <w:p w14:paraId="7BB4773B">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评分标准</w:t>
            </w:r>
          </w:p>
        </w:tc>
      </w:tr>
      <w:tr w14:paraId="71F0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14:paraId="4072DE71">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报价分</w:t>
            </w:r>
          </w:p>
          <w:p w14:paraId="5E7BA35C">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0分）</w:t>
            </w:r>
          </w:p>
        </w:tc>
        <w:tc>
          <w:tcPr>
            <w:tcW w:w="1945" w:type="dxa"/>
            <w:vAlign w:val="center"/>
          </w:tcPr>
          <w:p w14:paraId="55E46EF8">
            <w:pPr>
              <w:jc w:val="center"/>
              <w:outlineLvl w:val="9"/>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0分</w:t>
            </w:r>
          </w:p>
        </w:tc>
        <w:tc>
          <w:tcPr>
            <w:tcW w:w="6762" w:type="dxa"/>
            <w:vAlign w:val="center"/>
          </w:tcPr>
          <w:p w14:paraId="2E34B459">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满足招标文件资格及符合性要求且投标价格最低的投标报价为评标基准价，按照下列公式计算每个投标人的投标报价得分。投标报价得分=(评标基准价／投标报价)×</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0</w:t>
            </w:r>
          </w:p>
        </w:tc>
      </w:tr>
      <w:tr w14:paraId="552D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restart"/>
            <w:vAlign w:val="center"/>
          </w:tcPr>
          <w:p w14:paraId="28577CAA">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技术分</w:t>
            </w:r>
          </w:p>
          <w:p w14:paraId="466C5DC2">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0</w:t>
            </w:r>
            <w:r>
              <w:rPr>
                <w:rFonts w:hint="default" w:ascii="宋体" w:hAnsi="宋体" w:eastAsia="宋体" w:cs="宋体"/>
                <w:i w:val="0"/>
                <w:iCs w:val="0"/>
                <w:color w:val="000000"/>
                <w:kern w:val="0"/>
                <w:sz w:val="21"/>
                <w:szCs w:val="21"/>
                <w:u w:val="none"/>
                <w:lang w:val="en-US" w:eastAsia="zh-CN" w:bidi="ar"/>
              </w:rPr>
              <w:t>分）</w:t>
            </w:r>
          </w:p>
        </w:tc>
        <w:tc>
          <w:tcPr>
            <w:tcW w:w="1945" w:type="dxa"/>
            <w:vAlign w:val="center"/>
          </w:tcPr>
          <w:p w14:paraId="6D3E3DC4">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技术参数响应</w:t>
            </w:r>
          </w:p>
          <w:p w14:paraId="72960640">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0分）</w:t>
            </w:r>
          </w:p>
        </w:tc>
        <w:tc>
          <w:tcPr>
            <w:tcW w:w="6762" w:type="dxa"/>
            <w:vAlign w:val="center"/>
          </w:tcPr>
          <w:p w14:paraId="128F6D53">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一、采购需求响应（</w:t>
            </w:r>
            <w:r>
              <w:rPr>
                <w:rFonts w:hint="eastAsia" w:ascii="宋体" w:hAnsi="宋体" w:eastAsia="宋体" w:cs="宋体"/>
                <w:i w:val="0"/>
                <w:iCs w:val="0"/>
                <w:color w:val="000000"/>
                <w:kern w:val="0"/>
                <w:sz w:val="21"/>
                <w:szCs w:val="21"/>
                <w:u w:val="none"/>
                <w:lang w:val="en-US" w:eastAsia="zh-CN" w:bidi="ar"/>
              </w:rPr>
              <w:t>40</w:t>
            </w:r>
            <w:r>
              <w:rPr>
                <w:rFonts w:hint="default" w:ascii="宋体" w:hAnsi="宋体" w:eastAsia="宋体" w:cs="宋体"/>
                <w:i w:val="0"/>
                <w:iCs w:val="0"/>
                <w:color w:val="000000"/>
                <w:kern w:val="0"/>
                <w:sz w:val="21"/>
                <w:szCs w:val="21"/>
                <w:u w:val="none"/>
                <w:lang w:val="en-US" w:eastAsia="zh-CN" w:bidi="ar"/>
              </w:rPr>
              <w:t xml:space="preserve">分）： </w:t>
            </w:r>
          </w:p>
          <w:p w14:paraId="2D3E85F2">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磋商小组根据供应商对磋商文件“采购需求”的技术要求里的条款响应情况进行评分，完全满足所有技术参数，无负偏离的得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0分，每有一项负偏离或不满足磋商文件要求的扣5分，扣完为止。</w:t>
            </w:r>
          </w:p>
          <w:p w14:paraId="143171C9">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证明材料：提供《技术偏离表》并签署齐全。（注：如一项参数含多项指标，该参数中只要有一项指标不满足，也视为负偏离；要求提供的证明文件未提供视为负偏离.）</w:t>
            </w:r>
          </w:p>
        </w:tc>
      </w:tr>
      <w:tr w14:paraId="79D5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3B7103AE">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vAlign w:val="center"/>
          </w:tcPr>
          <w:p w14:paraId="1C7A70B8">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项目实施方案</w:t>
            </w:r>
          </w:p>
          <w:p w14:paraId="1529C50C">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tc>
        <w:tc>
          <w:tcPr>
            <w:tcW w:w="6762" w:type="dxa"/>
            <w:vAlign w:val="center"/>
          </w:tcPr>
          <w:p w14:paraId="7F401607">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投标供应商提供针对本项目的项目实施方案(包括但不限于项目管理方案、开通实施方案、测试验收方案等)。评标委员会根据各供应商所提供方案的完善性、可行性、可操作性进行综合评价。</w:t>
            </w:r>
          </w:p>
          <w:p w14:paraId="4D6E9060">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（1）方案全面、合理、针对性强的得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p w14:paraId="53D34B0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（2）方案较全面、合理、针对性较强的得</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分；</w:t>
            </w:r>
          </w:p>
          <w:p w14:paraId="0DA58C0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（3）方案基本完整合理、针对性一般的得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p w14:paraId="4DBD9527">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（4）方案简单、针对性较弱的得1分；</w:t>
            </w:r>
          </w:p>
          <w:p w14:paraId="19294558">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（5）提供不达要求或未提供的得0分。</w:t>
            </w:r>
          </w:p>
        </w:tc>
      </w:tr>
      <w:tr w14:paraId="1980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77F8CCA8">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vAlign w:val="center"/>
          </w:tcPr>
          <w:p w14:paraId="07A3452E">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售后服务方案</w:t>
            </w:r>
          </w:p>
          <w:p w14:paraId="1A0B5B44">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tc>
        <w:tc>
          <w:tcPr>
            <w:tcW w:w="6762" w:type="dxa"/>
            <w:vAlign w:val="center"/>
          </w:tcPr>
          <w:p w14:paraId="7BE0B7DE">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根据供应商提供的售后服务方案，包括但不限于：（本地化服务及响应时间、售后服务团队、售后服务承诺、售后保障方案、售后服务体系等）进行评审：</w:t>
            </w:r>
          </w:p>
          <w:p w14:paraId="716C3AE8">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（1）方案全面、合理、针对性强的得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p w14:paraId="1F8ECB1F">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（2）方案较全面、合理、针对性较强的得</w:t>
            </w:r>
            <w:r>
              <w:rPr>
                <w:rFonts w:hint="eastAsia" w:ascii="宋体" w:hAnsi="宋体" w:eastAsia="宋体" w:cs="宋体"/>
                <w:i w:val="0"/>
                <w:iCs w:val="0"/>
                <w:color w:val="000000"/>
                <w:kern w:val="0"/>
                <w:sz w:val="21"/>
                <w:szCs w:val="21"/>
                <w:u w:val="none"/>
                <w:lang w:val="en-US" w:eastAsia="zh-CN" w:bidi="ar"/>
              </w:rPr>
              <w:t>3</w:t>
            </w:r>
            <w:r>
              <w:rPr>
                <w:rFonts w:hint="default" w:ascii="宋体" w:hAnsi="宋体" w:eastAsia="宋体" w:cs="宋体"/>
                <w:i w:val="0"/>
                <w:iCs w:val="0"/>
                <w:color w:val="000000"/>
                <w:kern w:val="0"/>
                <w:sz w:val="21"/>
                <w:szCs w:val="21"/>
                <w:u w:val="none"/>
                <w:lang w:val="en-US" w:eastAsia="zh-CN" w:bidi="ar"/>
              </w:rPr>
              <w:t>分；</w:t>
            </w:r>
          </w:p>
          <w:p w14:paraId="5F71DEDC">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（3）方案基本完整合理、针对性一般的得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p w14:paraId="5A904E7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（4）方案简单、针对性较弱的得1分；</w:t>
            </w:r>
          </w:p>
          <w:p w14:paraId="0D7CE663">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（5）提供不达要求或未提供的得0分。</w:t>
            </w:r>
          </w:p>
        </w:tc>
      </w:tr>
      <w:tr w14:paraId="0E50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0EAB28CC">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vAlign w:val="center"/>
          </w:tcPr>
          <w:p w14:paraId="5DD1F184">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应急保障方案</w:t>
            </w:r>
          </w:p>
          <w:p w14:paraId="488D8EF2">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tc>
        <w:tc>
          <w:tcPr>
            <w:tcW w:w="6762" w:type="dxa"/>
            <w:vAlign w:val="center"/>
          </w:tcPr>
          <w:p w14:paraId="6E41A066">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根据供应商提供服务工作过程中的临时性、突发性工作任务的应急处置方案及措施进行评分：</w:t>
            </w:r>
          </w:p>
          <w:p w14:paraId="09A96706">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1.方案全面、合理、针对性强的得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分；</w:t>
            </w:r>
          </w:p>
          <w:p w14:paraId="655BDF79">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2.方案较全面、合理、针对性较强的得</w:t>
            </w:r>
            <w:r>
              <w:rPr>
                <w:rFonts w:hint="eastAsia" w:ascii="宋体" w:hAnsi="宋体" w:eastAsia="宋体" w:cs="宋体"/>
                <w:i w:val="0"/>
                <w:iCs w:val="0"/>
                <w:color w:val="000000"/>
                <w:kern w:val="0"/>
                <w:sz w:val="21"/>
                <w:szCs w:val="21"/>
                <w:u w:val="none"/>
                <w:lang w:val="en-US" w:eastAsia="zh-CN" w:bidi="ar"/>
              </w:rPr>
              <w:t>1.5</w:t>
            </w:r>
            <w:r>
              <w:rPr>
                <w:rFonts w:hint="default" w:ascii="宋体" w:hAnsi="宋体" w:eastAsia="宋体" w:cs="宋体"/>
                <w:i w:val="0"/>
                <w:iCs w:val="0"/>
                <w:color w:val="000000"/>
                <w:kern w:val="0"/>
                <w:sz w:val="21"/>
                <w:szCs w:val="21"/>
                <w:u w:val="none"/>
                <w:lang w:val="en-US" w:eastAsia="zh-CN" w:bidi="ar"/>
              </w:rPr>
              <w:t>分；</w:t>
            </w:r>
          </w:p>
          <w:p w14:paraId="6346C91A">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3.方案基本完整合理、针对性一般的得</w:t>
            </w:r>
            <w:r>
              <w:rPr>
                <w:rFonts w:hint="eastAsia" w:ascii="宋体" w:hAnsi="宋体" w:eastAsia="宋体" w:cs="宋体"/>
                <w:i w:val="0"/>
                <w:iCs w:val="0"/>
                <w:color w:val="000000"/>
                <w:kern w:val="0"/>
                <w:sz w:val="21"/>
                <w:szCs w:val="21"/>
                <w:u w:val="none"/>
                <w:lang w:val="en-US" w:eastAsia="zh-CN" w:bidi="ar"/>
              </w:rPr>
              <w:t>1</w:t>
            </w:r>
            <w:r>
              <w:rPr>
                <w:rFonts w:hint="default" w:ascii="宋体" w:hAnsi="宋体" w:eastAsia="宋体" w:cs="宋体"/>
                <w:i w:val="0"/>
                <w:iCs w:val="0"/>
                <w:color w:val="000000"/>
                <w:kern w:val="0"/>
                <w:sz w:val="21"/>
                <w:szCs w:val="21"/>
                <w:u w:val="none"/>
                <w:lang w:val="en-US" w:eastAsia="zh-CN" w:bidi="ar"/>
              </w:rPr>
              <w:t>分；</w:t>
            </w:r>
          </w:p>
          <w:p w14:paraId="53A89E1C">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4.方案简单、针对性较弱的得</w:t>
            </w:r>
            <w:r>
              <w:rPr>
                <w:rFonts w:hint="eastAsia" w:ascii="宋体" w:hAnsi="宋体" w:eastAsia="宋体" w:cs="宋体"/>
                <w:i w:val="0"/>
                <w:iCs w:val="0"/>
                <w:color w:val="000000"/>
                <w:kern w:val="0"/>
                <w:sz w:val="21"/>
                <w:szCs w:val="21"/>
                <w:u w:val="none"/>
                <w:lang w:val="en-US" w:eastAsia="zh-CN" w:bidi="ar"/>
              </w:rPr>
              <w:t>0.5</w:t>
            </w:r>
            <w:r>
              <w:rPr>
                <w:rFonts w:hint="default" w:ascii="宋体" w:hAnsi="宋体" w:eastAsia="宋体" w:cs="宋体"/>
                <w:i w:val="0"/>
                <w:iCs w:val="0"/>
                <w:color w:val="000000"/>
                <w:kern w:val="0"/>
                <w:sz w:val="21"/>
                <w:szCs w:val="21"/>
                <w:u w:val="none"/>
                <w:lang w:val="en-US" w:eastAsia="zh-CN" w:bidi="ar"/>
              </w:rPr>
              <w:t>分；</w:t>
            </w:r>
          </w:p>
          <w:p w14:paraId="58442DDF">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6.提供不达要求或未提供的得0分。</w:t>
            </w:r>
          </w:p>
        </w:tc>
      </w:tr>
      <w:tr w14:paraId="5809B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restart"/>
            <w:vAlign w:val="center"/>
          </w:tcPr>
          <w:p w14:paraId="1B591617">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商务分</w:t>
            </w:r>
          </w:p>
          <w:p w14:paraId="756D5CD9">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20</w:t>
            </w:r>
            <w:r>
              <w:rPr>
                <w:rFonts w:hint="default" w:ascii="宋体" w:hAnsi="宋体" w:eastAsia="宋体" w:cs="宋体"/>
                <w:i w:val="0"/>
                <w:iCs w:val="0"/>
                <w:color w:val="000000"/>
                <w:kern w:val="0"/>
                <w:sz w:val="21"/>
                <w:szCs w:val="21"/>
                <w:u w:val="none"/>
                <w:lang w:val="en-US" w:eastAsia="zh-CN" w:bidi="ar"/>
              </w:rPr>
              <w:t>分）</w:t>
            </w:r>
          </w:p>
        </w:tc>
        <w:tc>
          <w:tcPr>
            <w:tcW w:w="1945" w:type="dxa"/>
            <w:shd w:val="clear" w:color="auto" w:fill="auto"/>
            <w:vAlign w:val="center"/>
          </w:tcPr>
          <w:p w14:paraId="71B3C942">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项目团队（1</w:t>
            </w:r>
            <w:r>
              <w:rPr>
                <w:rFonts w:hint="eastAsia" w:ascii="宋体" w:hAnsi="宋体" w:eastAsia="宋体" w:cs="宋体"/>
                <w:i w:val="0"/>
                <w:iCs w:val="0"/>
                <w:color w:val="000000"/>
                <w:kern w:val="0"/>
                <w:sz w:val="21"/>
                <w:szCs w:val="21"/>
                <w:u w:val="none"/>
                <w:lang w:val="en-US" w:eastAsia="zh-CN" w:bidi="ar"/>
              </w:rPr>
              <w:t>0</w:t>
            </w:r>
            <w:r>
              <w:rPr>
                <w:rFonts w:hint="default" w:ascii="宋体" w:hAnsi="宋体" w:eastAsia="宋体" w:cs="宋体"/>
                <w:i w:val="0"/>
                <w:iCs w:val="0"/>
                <w:color w:val="000000"/>
                <w:kern w:val="0"/>
                <w:sz w:val="21"/>
                <w:szCs w:val="21"/>
                <w:u w:val="none"/>
                <w:lang w:val="en-US" w:eastAsia="zh-CN" w:bidi="ar"/>
              </w:rPr>
              <w:t>分）</w:t>
            </w:r>
          </w:p>
        </w:tc>
        <w:tc>
          <w:tcPr>
            <w:tcW w:w="6762" w:type="dxa"/>
            <w:shd w:val="clear" w:color="auto" w:fill="auto"/>
            <w:vAlign w:val="center"/>
          </w:tcPr>
          <w:p w14:paraId="498D9F90">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为保障项目实施过程数据安全、实施流程规范严谨，投标人对本项目服务人员的配备（提供相关资质证书复印件并加盖公章）：</w:t>
            </w:r>
          </w:p>
          <w:p w14:paraId="7E208870">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1、项目负责人（1 名）：满分</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 xml:space="preserve"> 分</w:t>
            </w:r>
          </w:p>
          <w:p w14:paraId="591FD394">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 xml:space="preserve">项目负责人具备一个信息系统或软件类高级证书，得 </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 xml:space="preserve">分，不提供则本条不得分；除外该人若有网络、软件设计、系统分析、数据库、项目管理、系统架构设计方向的证书(每类型证书只能提供 1 个)每提供一个证书得 </w:t>
            </w:r>
            <w:r>
              <w:rPr>
                <w:rFonts w:hint="eastAsia" w:ascii="宋体" w:hAnsi="宋体" w:eastAsia="宋体" w:cs="宋体"/>
                <w:i w:val="0"/>
                <w:iCs w:val="0"/>
                <w:color w:val="000000"/>
                <w:kern w:val="0"/>
                <w:sz w:val="21"/>
                <w:szCs w:val="21"/>
                <w:u w:val="none"/>
                <w:lang w:val="en-US" w:eastAsia="zh-CN" w:bidi="ar"/>
              </w:rPr>
              <w:t>1</w:t>
            </w:r>
            <w:r>
              <w:rPr>
                <w:rFonts w:hint="default" w:ascii="宋体" w:hAnsi="宋体" w:eastAsia="宋体" w:cs="宋体"/>
                <w:i w:val="0"/>
                <w:iCs w:val="0"/>
                <w:color w:val="000000"/>
                <w:kern w:val="0"/>
                <w:sz w:val="21"/>
                <w:szCs w:val="21"/>
                <w:u w:val="none"/>
                <w:lang w:val="en-US" w:eastAsia="zh-CN" w:bidi="ar"/>
              </w:rPr>
              <w:t>分，最高得分</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分，不提供不得分。</w:t>
            </w:r>
          </w:p>
          <w:p w14:paraId="5903B607">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 xml:space="preserve">2、项目技术服务团队（不含项目经理）( </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w:t>
            </w:r>
          </w:p>
          <w:p w14:paraId="3E8AA326">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供应商拟派项目技术服务团队主要人员不少于4人，其中人员所具备的技术认证资格应包括系统集成项目管理工程师1人、注册信息安全管理员（CISO）1人、软件设计师（中级）1人、数据库系统工程师1人；拟派技术团队具备全部证书的得</w:t>
            </w:r>
            <w:r>
              <w:rPr>
                <w:rFonts w:hint="eastAsia" w:ascii="宋体" w:hAnsi="宋体" w:eastAsia="宋体" w:cs="宋体"/>
                <w:i w:val="0"/>
                <w:iCs w:val="0"/>
                <w:color w:val="000000"/>
                <w:kern w:val="0"/>
                <w:sz w:val="21"/>
                <w:szCs w:val="21"/>
                <w:u w:val="none"/>
                <w:lang w:val="en-US" w:eastAsia="zh-CN" w:bidi="ar"/>
              </w:rPr>
              <w:t>4</w:t>
            </w:r>
            <w:r>
              <w:rPr>
                <w:rFonts w:hint="default" w:ascii="宋体" w:hAnsi="宋体" w:eastAsia="宋体" w:cs="宋体"/>
                <w:i w:val="0"/>
                <w:iCs w:val="0"/>
                <w:color w:val="000000"/>
                <w:kern w:val="0"/>
                <w:sz w:val="21"/>
                <w:szCs w:val="21"/>
                <w:u w:val="none"/>
                <w:lang w:val="en-US" w:eastAsia="zh-CN" w:bidi="ar"/>
              </w:rPr>
              <w:t>分，每少一项证书扣</w:t>
            </w:r>
            <w:r>
              <w:rPr>
                <w:rFonts w:hint="eastAsia" w:ascii="宋体" w:hAnsi="宋体" w:eastAsia="宋体" w:cs="宋体"/>
                <w:i w:val="0"/>
                <w:iCs w:val="0"/>
                <w:color w:val="000000"/>
                <w:kern w:val="0"/>
                <w:sz w:val="21"/>
                <w:szCs w:val="21"/>
                <w:u w:val="none"/>
                <w:lang w:val="en-US" w:eastAsia="zh-CN" w:bidi="ar"/>
              </w:rPr>
              <w:t>1</w:t>
            </w:r>
            <w:r>
              <w:rPr>
                <w:rFonts w:hint="default" w:ascii="宋体" w:hAnsi="宋体" w:eastAsia="宋体" w:cs="宋体"/>
                <w:i w:val="0"/>
                <w:iCs w:val="0"/>
                <w:color w:val="000000"/>
                <w:kern w:val="0"/>
                <w:sz w:val="21"/>
                <w:szCs w:val="21"/>
                <w:u w:val="none"/>
                <w:lang w:val="en-US" w:eastAsia="zh-CN" w:bidi="ar"/>
              </w:rPr>
              <w:t>分，扣完为止。上述人员不能重复，同一人员具有多项证书的按1人计算；</w:t>
            </w:r>
          </w:p>
          <w:p w14:paraId="2CEF630D">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注：供应商拟派人员须为本单位人员且需提供证书人员的①身份证、②社保证明（2026年1月至今任意1个月社保缴纳证明）、③对应职称证或软考证书复印件或扫描件加盖公章为证明材料，不提供或提供不全不得分。</w:t>
            </w:r>
          </w:p>
        </w:tc>
      </w:tr>
      <w:tr w14:paraId="4931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17520738">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shd w:val="clear" w:color="auto" w:fill="auto"/>
            <w:vAlign w:val="center"/>
          </w:tcPr>
          <w:p w14:paraId="5457312D">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业绩（</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分）</w:t>
            </w:r>
          </w:p>
        </w:tc>
        <w:tc>
          <w:tcPr>
            <w:tcW w:w="6762" w:type="dxa"/>
            <w:shd w:val="clear" w:color="auto" w:fill="auto"/>
            <w:vAlign w:val="center"/>
          </w:tcPr>
          <w:p w14:paraId="16DB5542">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供应商从 2022 年 1 月 1 日至今（以合同签订时间为准），承接的信息化软件开发项目业绩，每提供一个业绩得</w:t>
            </w:r>
            <w:r>
              <w:rPr>
                <w:rFonts w:hint="eastAsia" w:ascii="宋体" w:hAnsi="宋体" w:eastAsia="宋体" w:cs="宋体"/>
                <w:i w:val="0"/>
                <w:iCs w:val="0"/>
                <w:color w:val="000000"/>
                <w:kern w:val="0"/>
                <w:sz w:val="21"/>
                <w:szCs w:val="21"/>
                <w:u w:val="none"/>
                <w:lang w:val="en-US" w:eastAsia="zh-CN" w:bidi="ar"/>
              </w:rPr>
              <w:t>2</w:t>
            </w:r>
            <w:r>
              <w:rPr>
                <w:rFonts w:hint="default" w:ascii="宋体" w:hAnsi="宋体" w:eastAsia="宋体" w:cs="宋体"/>
                <w:i w:val="0"/>
                <w:iCs w:val="0"/>
                <w:color w:val="000000"/>
                <w:kern w:val="0"/>
                <w:sz w:val="21"/>
                <w:szCs w:val="21"/>
                <w:u w:val="none"/>
                <w:lang w:val="en-US" w:eastAsia="zh-CN" w:bidi="ar"/>
              </w:rPr>
              <w:t xml:space="preserve"> 分，最高得 </w:t>
            </w:r>
            <w:r>
              <w:rPr>
                <w:rFonts w:hint="eastAsia" w:ascii="宋体" w:hAnsi="宋体" w:eastAsia="宋体" w:cs="宋体"/>
                <w:i w:val="0"/>
                <w:iCs w:val="0"/>
                <w:color w:val="000000"/>
                <w:kern w:val="0"/>
                <w:sz w:val="21"/>
                <w:szCs w:val="21"/>
                <w:u w:val="none"/>
                <w:lang w:val="en-US" w:eastAsia="zh-CN" w:bidi="ar"/>
              </w:rPr>
              <w:t>6</w:t>
            </w:r>
            <w:r>
              <w:rPr>
                <w:rFonts w:hint="default" w:ascii="宋体" w:hAnsi="宋体" w:eastAsia="宋体" w:cs="宋体"/>
                <w:i w:val="0"/>
                <w:iCs w:val="0"/>
                <w:color w:val="000000"/>
                <w:kern w:val="0"/>
                <w:sz w:val="21"/>
                <w:szCs w:val="21"/>
                <w:u w:val="none"/>
                <w:lang w:val="en-US" w:eastAsia="zh-CN" w:bidi="ar"/>
              </w:rPr>
              <w:t xml:space="preserve"> 分。未提供或提供不达要求的不得分（提供项目合同签章页和建设内容页复印件或扫描件并加盖供应商公章，如提供虚假合同经核查取消中标资格同时上报监管部门。）</w:t>
            </w:r>
          </w:p>
        </w:tc>
      </w:tr>
      <w:tr w14:paraId="67F3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Merge w:val="continue"/>
            <w:vAlign w:val="center"/>
          </w:tcPr>
          <w:p w14:paraId="4A304825">
            <w:pPr>
              <w:jc w:val="center"/>
              <w:outlineLvl w:val="9"/>
              <w:rPr>
                <w:rFonts w:hint="default" w:ascii="宋体" w:hAnsi="宋体" w:eastAsia="宋体" w:cs="宋体"/>
                <w:i w:val="0"/>
                <w:iCs w:val="0"/>
                <w:color w:val="000000"/>
                <w:kern w:val="0"/>
                <w:sz w:val="21"/>
                <w:szCs w:val="21"/>
                <w:u w:val="none"/>
                <w:lang w:val="en-US" w:eastAsia="zh-CN" w:bidi="ar"/>
              </w:rPr>
            </w:pPr>
          </w:p>
        </w:tc>
        <w:tc>
          <w:tcPr>
            <w:tcW w:w="1945" w:type="dxa"/>
            <w:shd w:val="clear" w:color="auto" w:fill="auto"/>
            <w:vAlign w:val="center"/>
          </w:tcPr>
          <w:p w14:paraId="6318CE8B">
            <w:pPr>
              <w:jc w:val="center"/>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质保承诺（4分）</w:t>
            </w:r>
          </w:p>
        </w:tc>
        <w:tc>
          <w:tcPr>
            <w:tcW w:w="6762" w:type="dxa"/>
            <w:shd w:val="clear" w:color="auto" w:fill="auto"/>
            <w:vAlign w:val="center"/>
          </w:tcPr>
          <w:p w14:paraId="072092FD">
            <w:pPr>
              <w:jc w:val="both"/>
              <w:outlineLvl w:val="9"/>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供应商</w:t>
            </w:r>
            <w:r>
              <w:rPr>
                <w:rFonts w:hint="eastAsia" w:ascii="宋体" w:hAnsi="宋体" w:eastAsia="宋体" w:cs="宋体"/>
                <w:i w:val="0"/>
                <w:iCs w:val="0"/>
                <w:color w:val="000000"/>
                <w:kern w:val="0"/>
                <w:sz w:val="21"/>
                <w:szCs w:val="21"/>
                <w:u w:val="none"/>
                <w:lang w:val="en-US" w:eastAsia="zh-CN" w:bidi="ar"/>
              </w:rPr>
              <w:t>提供的维保验收后需提供3年免费维保，免费维保结束后维保费低中标价于5%，每低一个点加2分，最多加4分</w:t>
            </w:r>
            <w:r>
              <w:rPr>
                <w:rFonts w:hint="default" w:ascii="宋体" w:hAnsi="宋体" w:eastAsia="宋体" w:cs="宋体"/>
                <w:i w:val="0"/>
                <w:iCs w:val="0"/>
                <w:color w:val="000000"/>
                <w:kern w:val="0"/>
                <w:sz w:val="21"/>
                <w:szCs w:val="21"/>
                <w:u w:val="none"/>
                <w:lang w:val="en-US" w:eastAsia="zh-CN" w:bidi="ar"/>
              </w:rPr>
              <w:t>。提供承诺函，不提供不得分。</w:t>
            </w:r>
          </w:p>
        </w:tc>
      </w:tr>
    </w:tbl>
    <w:p w14:paraId="6FD73CF2">
      <w:pPr>
        <w:tabs>
          <w:tab w:val="left" w:pos="5133"/>
        </w:tabs>
        <w:bidi w:val="0"/>
        <w:jc w:val="left"/>
        <w:rPr>
          <w:rFonts w:hint="default" w:ascii="仿宋" w:hAnsi="仿宋" w:eastAsia="仿宋"/>
          <w:bCs/>
          <w:sz w:val="28"/>
          <w:szCs w:val="28"/>
          <w:lang w:val="en-US" w:eastAsia="zh-CN"/>
        </w:rPr>
      </w:pPr>
    </w:p>
    <w:p w14:paraId="12A01DB8">
      <w:pPr>
        <w:pStyle w:val="8"/>
        <w:spacing w:before="0" w:beforeAutospacing="0" w:after="0" w:afterAutospacing="0" w:line="440" w:lineRule="exact"/>
        <w:jc w:val="left"/>
        <w:rPr>
          <w:rFonts w:hint="eastAsia" w:ascii="仿宋" w:hAnsi="仿宋" w:eastAsia="仿宋"/>
          <w:bCs/>
          <w:sz w:val="28"/>
          <w:szCs w:val="28"/>
          <w:lang w:val="en-US" w:eastAsia="zh-CN"/>
        </w:rPr>
      </w:pPr>
    </w:p>
    <w:p w14:paraId="47289505">
      <w:pPr>
        <w:pStyle w:val="8"/>
        <w:spacing w:before="0" w:beforeAutospacing="0" w:after="0" w:afterAutospacing="0" w:line="440" w:lineRule="exact"/>
        <w:jc w:val="left"/>
        <w:rPr>
          <w:rFonts w:hint="eastAsia" w:ascii="仿宋" w:hAnsi="仿宋" w:eastAsia="仿宋"/>
          <w:bCs/>
          <w:sz w:val="28"/>
          <w:szCs w:val="28"/>
          <w:lang w:val="en-US" w:eastAsia="zh-CN"/>
        </w:rPr>
      </w:pPr>
    </w:p>
    <w:p w14:paraId="3F5E84DD">
      <w:pPr>
        <w:pStyle w:val="8"/>
        <w:spacing w:before="0" w:beforeAutospacing="0" w:after="0" w:afterAutospacing="0" w:line="440" w:lineRule="exact"/>
        <w:jc w:val="left"/>
        <w:rPr>
          <w:rFonts w:hint="eastAsia" w:ascii="仿宋" w:hAnsi="仿宋" w:eastAsia="仿宋"/>
          <w:bCs/>
          <w:sz w:val="28"/>
          <w:szCs w:val="28"/>
          <w:lang w:val="en-US" w:eastAsia="zh-CN"/>
        </w:rPr>
      </w:pPr>
    </w:p>
    <w:p w14:paraId="5750FB38">
      <w:pPr>
        <w:pStyle w:val="8"/>
        <w:spacing w:before="0" w:beforeAutospacing="0" w:after="0" w:afterAutospacing="0" w:line="440" w:lineRule="exact"/>
        <w:jc w:val="left"/>
        <w:rPr>
          <w:rFonts w:hint="eastAsia" w:ascii="仿宋" w:hAnsi="仿宋" w:eastAsia="仿宋"/>
          <w:bCs/>
          <w:sz w:val="28"/>
          <w:szCs w:val="28"/>
          <w:lang w:val="en-US" w:eastAsia="zh-CN"/>
        </w:rPr>
      </w:pPr>
    </w:p>
    <w:p w14:paraId="625E7C69">
      <w:pPr>
        <w:pStyle w:val="8"/>
        <w:spacing w:before="0" w:beforeAutospacing="0" w:after="0" w:afterAutospacing="0" w:line="440" w:lineRule="exact"/>
        <w:jc w:val="left"/>
        <w:rPr>
          <w:rFonts w:hint="eastAsia" w:ascii="仿宋" w:hAnsi="仿宋" w:eastAsia="仿宋"/>
          <w:bCs/>
          <w:sz w:val="28"/>
          <w:szCs w:val="28"/>
          <w:lang w:val="en-US" w:eastAsia="zh-CN"/>
        </w:rPr>
      </w:pPr>
    </w:p>
    <w:p w14:paraId="29247B15">
      <w:pPr>
        <w:pStyle w:val="8"/>
        <w:spacing w:before="0" w:beforeAutospacing="0" w:after="0" w:afterAutospacing="0" w:line="440" w:lineRule="exact"/>
        <w:jc w:val="left"/>
        <w:rPr>
          <w:rFonts w:hint="eastAsia" w:ascii="仿宋" w:hAnsi="仿宋" w:eastAsia="仿宋"/>
          <w:bCs/>
          <w:sz w:val="28"/>
          <w:szCs w:val="28"/>
          <w:lang w:val="en-US" w:eastAsia="zh-CN"/>
        </w:rPr>
      </w:pPr>
    </w:p>
    <w:p w14:paraId="770BEED8">
      <w:pPr>
        <w:pStyle w:val="8"/>
        <w:spacing w:before="0" w:beforeAutospacing="0" w:after="0" w:afterAutospacing="0" w:line="440" w:lineRule="exact"/>
        <w:jc w:val="left"/>
        <w:rPr>
          <w:rFonts w:hint="eastAsia" w:ascii="仿宋" w:hAnsi="仿宋" w:eastAsia="仿宋"/>
          <w:bCs/>
          <w:sz w:val="28"/>
          <w:szCs w:val="28"/>
          <w:lang w:val="en-US" w:eastAsia="zh-CN"/>
        </w:rPr>
      </w:pPr>
    </w:p>
    <w:p w14:paraId="4A377E53">
      <w:pPr>
        <w:pStyle w:val="8"/>
        <w:spacing w:before="0" w:beforeAutospacing="0" w:after="0" w:afterAutospacing="0" w:line="440" w:lineRule="exact"/>
        <w:jc w:val="left"/>
        <w:rPr>
          <w:rFonts w:hint="eastAsia" w:ascii="仿宋" w:hAnsi="仿宋" w:eastAsia="仿宋"/>
          <w:bCs/>
          <w:sz w:val="28"/>
          <w:szCs w:val="28"/>
          <w:lang w:val="en-US" w:eastAsia="zh-CN"/>
        </w:rPr>
      </w:pPr>
    </w:p>
    <w:p w14:paraId="3F5F4DDF">
      <w:pPr>
        <w:pStyle w:val="8"/>
        <w:spacing w:before="0" w:beforeAutospacing="0" w:after="0" w:afterAutospacing="0" w:line="440" w:lineRule="exact"/>
        <w:jc w:val="left"/>
        <w:rPr>
          <w:rFonts w:hint="eastAsia" w:ascii="仿宋" w:hAnsi="仿宋" w:eastAsia="仿宋"/>
          <w:bCs/>
          <w:sz w:val="28"/>
          <w:szCs w:val="28"/>
          <w:lang w:val="en-US" w:eastAsia="zh-CN"/>
        </w:rPr>
      </w:pPr>
    </w:p>
    <w:p w14:paraId="109B2993">
      <w:pPr>
        <w:pStyle w:val="8"/>
        <w:spacing w:before="0" w:beforeAutospacing="0" w:after="0" w:afterAutospacing="0" w:line="440" w:lineRule="exact"/>
        <w:jc w:val="left"/>
        <w:rPr>
          <w:rFonts w:hint="eastAsia" w:ascii="仿宋" w:hAnsi="仿宋" w:eastAsia="仿宋"/>
          <w:bCs/>
          <w:sz w:val="28"/>
          <w:szCs w:val="28"/>
          <w:lang w:val="en-US" w:eastAsia="zh-CN"/>
        </w:rPr>
      </w:pPr>
    </w:p>
    <w:p w14:paraId="1279E905">
      <w:pPr>
        <w:pStyle w:val="8"/>
        <w:spacing w:before="0" w:beforeAutospacing="0" w:after="0" w:afterAutospacing="0" w:line="440" w:lineRule="exact"/>
        <w:jc w:val="left"/>
        <w:rPr>
          <w:rFonts w:hint="eastAsia" w:ascii="仿宋" w:hAnsi="仿宋" w:eastAsia="仿宋"/>
          <w:bCs/>
          <w:sz w:val="28"/>
          <w:szCs w:val="28"/>
          <w:lang w:val="en-US" w:eastAsia="zh-CN"/>
        </w:rPr>
      </w:pPr>
    </w:p>
    <w:p w14:paraId="308D8B1E">
      <w:pPr>
        <w:pStyle w:val="8"/>
        <w:spacing w:before="0" w:beforeAutospacing="0" w:after="0" w:afterAutospacing="0" w:line="440" w:lineRule="exact"/>
        <w:jc w:val="left"/>
        <w:rPr>
          <w:rFonts w:hint="eastAsia" w:ascii="仿宋" w:hAnsi="仿宋" w:eastAsia="仿宋"/>
          <w:bCs/>
          <w:sz w:val="28"/>
          <w:szCs w:val="28"/>
          <w:lang w:val="en-US" w:eastAsia="zh-CN"/>
        </w:rPr>
      </w:pPr>
    </w:p>
    <w:p w14:paraId="2F7BA3D2">
      <w:pPr>
        <w:pStyle w:val="8"/>
        <w:spacing w:before="0" w:beforeAutospacing="0" w:after="0" w:afterAutospacing="0" w:line="440" w:lineRule="exact"/>
        <w:jc w:val="left"/>
        <w:rPr>
          <w:rFonts w:hint="eastAsia" w:ascii="仿宋" w:hAnsi="仿宋" w:eastAsia="仿宋"/>
          <w:bCs/>
          <w:sz w:val="28"/>
          <w:szCs w:val="28"/>
          <w:lang w:val="en-US" w:eastAsia="zh-CN"/>
        </w:rPr>
      </w:pPr>
    </w:p>
    <w:p w14:paraId="438D45C8">
      <w:pPr>
        <w:pStyle w:val="8"/>
        <w:spacing w:before="0" w:beforeAutospacing="0" w:after="0" w:afterAutospacing="0" w:line="440" w:lineRule="exact"/>
        <w:jc w:val="left"/>
        <w:rPr>
          <w:rFonts w:hint="eastAsia" w:ascii="仿宋" w:hAnsi="仿宋" w:eastAsia="仿宋"/>
          <w:bCs/>
          <w:sz w:val="28"/>
          <w:szCs w:val="28"/>
          <w:lang w:val="en-US" w:eastAsia="zh-CN"/>
        </w:rPr>
      </w:pPr>
    </w:p>
    <w:p w14:paraId="104BE3E4">
      <w:pPr>
        <w:pStyle w:val="8"/>
        <w:spacing w:before="0" w:beforeAutospacing="0" w:after="0" w:afterAutospacing="0" w:line="440" w:lineRule="exact"/>
        <w:jc w:val="left"/>
        <w:rPr>
          <w:rFonts w:hint="eastAsia" w:ascii="仿宋" w:hAnsi="仿宋" w:eastAsia="仿宋"/>
          <w:bCs/>
          <w:sz w:val="28"/>
          <w:szCs w:val="28"/>
          <w:lang w:val="en-US" w:eastAsia="zh-CN"/>
        </w:rPr>
      </w:pPr>
    </w:p>
    <w:p w14:paraId="7AF093FD">
      <w:pPr>
        <w:pStyle w:val="8"/>
        <w:spacing w:before="0" w:beforeAutospacing="0" w:after="0" w:afterAutospacing="0" w:line="440" w:lineRule="exact"/>
        <w:jc w:val="left"/>
        <w:rPr>
          <w:rFonts w:hint="eastAsia" w:ascii="仿宋" w:hAnsi="仿宋" w:eastAsia="仿宋"/>
          <w:bCs/>
          <w:sz w:val="28"/>
          <w:szCs w:val="28"/>
          <w:lang w:val="en-US" w:eastAsia="zh-CN"/>
        </w:rPr>
      </w:pPr>
    </w:p>
    <w:p w14:paraId="75367C6C">
      <w:pPr>
        <w:pStyle w:val="8"/>
        <w:spacing w:before="0" w:beforeAutospacing="0" w:after="0" w:afterAutospacing="0" w:line="440" w:lineRule="exact"/>
        <w:jc w:val="left"/>
        <w:rPr>
          <w:rFonts w:hint="eastAsia" w:ascii="仿宋" w:hAnsi="仿宋" w:eastAsia="仿宋"/>
          <w:bCs/>
          <w:sz w:val="28"/>
          <w:szCs w:val="28"/>
          <w:lang w:val="en-US" w:eastAsia="zh-CN"/>
        </w:rPr>
      </w:pPr>
    </w:p>
    <w:p w14:paraId="1240E5CE">
      <w:pPr>
        <w:pStyle w:val="8"/>
        <w:spacing w:before="0" w:beforeAutospacing="0" w:after="0" w:afterAutospacing="0" w:line="440" w:lineRule="exact"/>
        <w:jc w:val="left"/>
        <w:rPr>
          <w:rFonts w:hint="eastAsia" w:ascii="仿宋" w:hAnsi="仿宋" w:eastAsia="仿宋"/>
          <w:bCs/>
          <w:sz w:val="28"/>
          <w:szCs w:val="28"/>
          <w:lang w:val="en-US" w:eastAsia="zh-CN"/>
        </w:rPr>
      </w:pPr>
    </w:p>
    <w:p w14:paraId="7DE5D23D">
      <w:pPr>
        <w:pStyle w:val="8"/>
        <w:spacing w:before="0" w:beforeAutospacing="0" w:after="0" w:afterAutospacing="0" w:line="440" w:lineRule="exact"/>
        <w:jc w:val="left"/>
        <w:rPr>
          <w:rFonts w:hint="eastAsia" w:ascii="仿宋" w:hAnsi="仿宋" w:eastAsia="仿宋"/>
          <w:bCs/>
          <w:sz w:val="28"/>
          <w:szCs w:val="28"/>
          <w:lang w:val="en-US" w:eastAsia="zh-CN"/>
        </w:rPr>
      </w:pPr>
      <w:r>
        <w:rPr>
          <w:rFonts w:hint="eastAsia" w:ascii="仿宋" w:hAnsi="仿宋" w:eastAsia="仿宋"/>
          <w:bCs/>
          <w:sz w:val="28"/>
          <w:szCs w:val="28"/>
          <w:lang w:val="en-US" w:eastAsia="zh-CN"/>
        </w:rPr>
        <w:t>附件3：</w:t>
      </w:r>
    </w:p>
    <w:p w14:paraId="11BE2379">
      <w:pPr>
        <w:jc w:val="center"/>
        <w:rPr>
          <w:rFonts w:hint="default" w:ascii="仿宋" w:hAnsi="仿宋" w:eastAsia="仿宋"/>
          <w:b/>
          <w:bCs w:val="0"/>
          <w:sz w:val="28"/>
          <w:szCs w:val="28"/>
          <w:lang w:val="en-US" w:eastAsia="zh-CN"/>
        </w:rPr>
      </w:pPr>
      <w:r>
        <w:rPr>
          <w:rFonts w:hint="eastAsia" w:ascii="仿宋" w:hAnsi="仿宋" w:eastAsia="仿宋"/>
          <w:b/>
          <w:bCs w:val="0"/>
          <w:sz w:val="28"/>
          <w:szCs w:val="28"/>
          <w:lang w:val="en-US" w:eastAsia="zh-CN"/>
        </w:rPr>
        <w:t>技术参数（需提供技术参数偏离表）</w:t>
      </w:r>
    </w:p>
    <w:tbl>
      <w:tblPr>
        <w:tblStyle w:val="10"/>
        <w:tblW w:w="64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417"/>
        <w:gridCol w:w="1194"/>
        <w:gridCol w:w="1861"/>
        <w:gridCol w:w="6601"/>
      </w:tblGrid>
      <w:tr w14:paraId="6813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jc w:val="center"/>
        </w:trPr>
        <w:tc>
          <w:tcPr>
            <w:tcW w:w="640" w:type="pct"/>
            <w:shd w:val="clear" w:color="auto" w:fill="auto"/>
            <w:vAlign w:val="center"/>
          </w:tcPr>
          <w:p w14:paraId="2F9F69F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一级模块</w:t>
            </w:r>
          </w:p>
        </w:tc>
        <w:tc>
          <w:tcPr>
            <w:tcW w:w="538" w:type="pct"/>
            <w:shd w:val="clear" w:color="auto" w:fill="auto"/>
            <w:vAlign w:val="center"/>
          </w:tcPr>
          <w:p w14:paraId="58B3E52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二级模块</w:t>
            </w:r>
          </w:p>
        </w:tc>
        <w:tc>
          <w:tcPr>
            <w:tcW w:w="840" w:type="pct"/>
            <w:shd w:val="clear" w:color="auto" w:fill="auto"/>
            <w:vAlign w:val="center"/>
          </w:tcPr>
          <w:p w14:paraId="543EAF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三级模块</w:t>
            </w:r>
          </w:p>
        </w:tc>
        <w:tc>
          <w:tcPr>
            <w:tcW w:w="2980" w:type="pct"/>
            <w:shd w:val="clear" w:color="auto" w:fill="auto"/>
            <w:vAlign w:val="center"/>
          </w:tcPr>
          <w:p w14:paraId="1EEB31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功能说明</w:t>
            </w:r>
          </w:p>
        </w:tc>
      </w:tr>
      <w:tr w14:paraId="0929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71AB4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首页</w:t>
            </w:r>
          </w:p>
        </w:tc>
        <w:tc>
          <w:tcPr>
            <w:tcW w:w="538" w:type="pct"/>
            <w:vMerge w:val="restart"/>
            <w:shd w:val="clear" w:color="auto" w:fill="auto"/>
            <w:vAlign w:val="center"/>
          </w:tcPr>
          <w:p w14:paraId="175647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我的成果统计</w:t>
            </w:r>
          </w:p>
        </w:tc>
        <w:tc>
          <w:tcPr>
            <w:tcW w:w="840" w:type="pct"/>
            <w:shd w:val="clear" w:color="auto" w:fill="auto"/>
            <w:vAlign w:val="center"/>
          </w:tcPr>
          <w:p w14:paraId="398B39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随访评估数量</w:t>
            </w:r>
          </w:p>
        </w:tc>
        <w:tc>
          <w:tcPr>
            <w:tcW w:w="2980" w:type="pct"/>
            <w:shd w:val="clear" w:color="auto" w:fill="auto"/>
            <w:vAlign w:val="center"/>
          </w:tcPr>
          <w:p w14:paraId="7A39AD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统计用户完成的随访评估总次数，方便用户快速了解自己对患者的随访工作量和进展情况，以便合理安排后续工作计划。</w:t>
            </w:r>
          </w:p>
        </w:tc>
      </w:tr>
      <w:tr w14:paraId="176A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0EC4B1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2C01E5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C2826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分级管理数量</w:t>
            </w:r>
          </w:p>
        </w:tc>
        <w:tc>
          <w:tcPr>
            <w:tcW w:w="2980" w:type="pct"/>
            <w:shd w:val="clear" w:color="auto" w:fill="auto"/>
            <w:vAlign w:val="center"/>
          </w:tcPr>
          <w:p w14:paraId="48E01D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展示处于不同分级管理状态的患者数量，如高血压患者按危险程度分级，帮助用户清晰地掌握各类患者的分布情况，为重点关注患者提供依据。</w:t>
            </w:r>
          </w:p>
        </w:tc>
      </w:tr>
      <w:tr w14:paraId="2F56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9279FF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881FE0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FFCF5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双向转诊数量</w:t>
            </w:r>
          </w:p>
        </w:tc>
        <w:tc>
          <w:tcPr>
            <w:tcW w:w="2980" w:type="pct"/>
            <w:shd w:val="clear" w:color="auto" w:fill="auto"/>
            <w:vAlign w:val="center"/>
          </w:tcPr>
          <w:p w14:paraId="4E3BAD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呈现从上级医院下转至本级的患者数以及从本级上转至上级医院的患者数，便于管理者了解双向转诊的实施情况，确保转诊流程顺畅。</w:t>
            </w:r>
          </w:p>
        </w:tc>
      </w:tr>
      <w:tr w14:paraId="2C7B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AE281FF">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654C5F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今日数据</w:t>
            </w:r>
          </w:p>
        </w:tc>
        <w:tc>
          <w:tcPr>
            <w:tcW w:w="840" w:type="pct"/>
            <w:shd w:val="clear" w:color="auto" w:fill="auto"/>
            <w:vAlign w:val="center"/>
          </w:tcPr>
          <w:p w14:paraId="6B044E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今日建档数量</w:t>
            </w:r>
          </w:p>
        </w:tc>
        <w:tc>
          <w:tcPr>
            <w:tcW w:w="2980" w:type="pct"/>
            <w:shd w:val="clear" w:color="auto" w:fill="auto"/>
            <w:vAlign w:val="center"/>
          </w:tcPr>
          <w:p w14:paraId="68C265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显示主动性筛查建档数量和机会性筛查建档数量（HIS系统通过门诊、住院病历ICD-10诊断后可进行建档）。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显示当天新建的居民健康档案数量，及时反映当日的建档工作成效，有助于督促工作人员积极完成建档任务，提高档案管理的及时性和完整性。</w:t>
            </w:r>
          </w:p>
        </w:tc>
      </w:tr>
      <w:tr w14:paraId="1E2CC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F952439">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ED487D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3F828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今日复诊数量</w:t>
            </w:r>
          </w:p>
        </w:tc>
        <w:tc>
          <w:tcPr>
            <w:tcW w:w="2980" w:type="pct"/>
            <w:shd w:val="clear" w:color="auto" w:fill="auto"/>
            <w:vAlign w:val="center"/>
          </w:tcPr>
          <w:p w14:paraId="63C55C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统计今日需进行复诊的慢病患者人数，提醒医护人员合理安排复诊服务，保障患者按时得到诊疗，提高患者对医疗服务的满意度。</w:t>
            </w:r>
          </w:p>
        </w:tc>
      </w:tr>
      <w:tr w14:paraId="3E49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05909A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69328D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6764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异常值</w:t>
            </w:r>
          </w:p>
        </w:tc>
        <w:tc>
          <w:tcPr>
            <w:tcW w:w="2980" w:type="pct"/>
            <w:shd w:val="clear" w:color="auto" w:fill="auto"/>
            <w:vAlign w:val="center"/>
          </w:tcPr>
          <w:p w14:paraId="56EF3A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显示居民通过小程序或物联网智能可穿戴设备上传的血压和血糖值，出现异常值时可进行预警。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对监测到的血压、血糖等关键健康指标异常数据进行汇总和提示，使医护人员能迅速发现潜在高风险患者，及时进行干预，避免病情恶化。</w:t>
            </w:r>
          </w:p>
        </w:tc>
      </w:tr>
      <w:tr w14:paraId="615D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73584FF">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04C4DA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待办事项</w:t>
            </w:r>
          </w:p>
        </w:tc>
        <w:tc>
          <w:tcPr>
            <w:tcW w:w="840" w:type="pct"/>
            <w:shd w:val="clear" w:color="auto" w:fill="auto"/>
            <w:vAlign w:val="center"/>
          </w:tcPr>
          <w:p w14:paraId="792930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未管理患者操作</w:t>
            </w:r>
          </w:p>
        </w:tc>
        <w:tc>
          <w:tcPr>
            <w:tcW w:w="2980" w:type="pct"/>
            <w:shd w:val="clear" w:color="auto" w:fill="auto"/>
            <w:vAlign w:val="center"/>
          </w:tcPr>
          <w:p w14:paraId="723117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显示对已建档但未纳入全流程健康管理的患者档案数量。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列出尚未纳入管理的患者信息，提示用户及时对这些患者进行评估和干预，确保所有就诊患者都能得到有效的健康管理服务。</w:t>
            </w:r>
          </w:p>
        </w:tc>
      </w:tr>
      <w:tr w14:paraId="3919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013E0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7F5E83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8EF1E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待随访患者操作</w:t>
            </w:r>
          </w:p>
        </w:tc>
        <w:tc>
          <w:tcPr>
            <w:tcW w:w="2980" w:type="pct"/>
            <w:shd w:val="clear" w:color="auto" w:fill="auto"/>
            <w:vAlign w:val="center"/>
          </w:tcPr>
          <w:p w14:paraId="1B7C00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显示前一天应随访但未随访的患者档案信息。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提醒用户有待随访的患者名单，便于合理安排随访计划，保证随访工作的及时性和连续性，提高慢病管理的依从性。</w:t>
            </w:r>
          </w:p>
        </w:tc>
      </w:tr>
      <w:tr w14:paraId="7390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C789F7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9F6BF8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FF4FD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待分级患者操作</w:t>
            </w:r>
          </w:p>
        </w:tc>
        <w:tc>
          <w:tcPr>
            <w:tcW w:w="2980" w:type="pct"/>
            <w:shd w:val="clear" w:color="auto" w:fill="auto"/>
            <w:vAlign w:val="center"/>
          </w:tcPr>
          <w:p w14:paraId="24838E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显示前一天应进行危险分层但未操作的患者档案信息。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显示需进行分级管理评估的患者，帮助医护人员及时准确地对患者进行分级，以便实施针对性的管理措施，提高慢病管理的科学性和有效性。</w:t>
            </w:r>
          </w:p>
        </w:tc>
      </w:tr>
      <w:tr w14:paraId="379B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5542CD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3DA47A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01CBA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居民申请操作</w:t>
            </w:r>
          </w:p>
        </w:tc>
        <w:tc>
          <w:tcPr>
            <w:tcW w:w="2980" w:type="pct"/>
            <w:shd w:val="clear" w:color="auto" w:fill="auto"/>
            <w:vAlign w:val="center"/>
          </w:tcPr>
          <w:p w14:paraId="3E9CEB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可显示24小时前患者通过小程序提交的纳管申请信息。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处理居民提出的各类申请，如健康档案查询、慢病管理服务申请等，及时响应居民的健康需求，增强居民对健康管理平台的参与度和信任度。</w:t>
            </w:r>
          </w:p>
        </w:tc>
      </w:tr>
      <w:tr w14:paraId="3E30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972B3D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5591A8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4100D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待接收转诊操作</w:t>
            </w:r>
          </w:p>
        </w:tc>
        <w:tc>
          <w:tcPr>
            <w:tcW w:w="2980" w:type="pct"/>
            <w:shd w:val="clear" w:color="auto" w:fill="auto"/>
            <w:vAlign w:val="center"/>
          </w:tcPr>
          <w:p w14:paraId="13B154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当收到上级医院或下级基层医疗机构转诊过来的患者时，及时进行接收和处理的提醒，确保转诊患者能得到及时的医疗救治和健康管理，实现医疗资源的高效利用和患者就医的无缝衔接。</w:t>
            </w:r>
          </w:p>
        </w:tc>
      </w:tr>
      <w:tr w14:paraId="0AFA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3BFF6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5938498">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28DF2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血压异常信息</w:t>
            </w:r>
          </w:p>
        </w:tc>
        <w:tc>
          <w:tcPr>
            <w:tcW w:w="2980" w:type="pct"/>
            <w:shd w:val="clear" w:color="auto" w:fill="auto"/>
            <w:vAlign w:val="center"/>
          </w:tcPr>
          <w:p w14:paraId="50E334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对监测到的血压异常数据进行详细展示和提醒，包括异常值的具体数值、出现时间等，方便医护人员快速识别高风险患者，及时采取降压措施，预防心脑血管等并发症的发生。</w:t>
            </w:r>
          </w:p>
        </w:tc>
      </w:tr>
      <w:tr w14:paraId="0EB5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9C5EFD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6C69FA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B4365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血糖异常信息</w:t>
            </w:r>
          </w:p>
        </w:tc>
        <w:tc>
          <w:tcPr>
            <w:tcW w:w="2980" w:type="pct"/>
            <w:shd w:val="clear" w:color="auto" w:fill="auto"/>
            <w:vAlign w:val="center"/>
          </w:tcPr>
          <w:p w14:paraId="239F39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接收到的异常血糖值信息，可提供血糖异常患者的详细信息，如血糖值、检测时间等，帮助医护人员及时了解患者的血糖控制情况，调整治疗方案，加强对糖尿病患者的精细化管理，防止糖尿病并发症的发生和发展。</w:t>
            </w:r>
          </w:p>
        </w:tc>
      </w:tr>
      <w:tr w14:paraId="202F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6C8BFC6">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427DDA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快捷功能</w:t>
            </w:r>
          </w:p>
        </w:tc>
        <w:tc>
          <w:tcPr>
            <w:tcW w:w="840" w:type="pct"/>
            <w:shd w:val="clear" w:color="auto" w:fill="auto"/>
            <w:vAlign w:val="center"/>
          </w:tcPr>
          <w:p w14:paraId="2A1745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功能按钮自定义设置</w:t>
            </w:r>
          </w:p>
        </w:tc>
        <w:tc>
          <w:tcPr>
            <w:tcW w:w="2980" w:type="pct"/>
            <w:shd w:val="clear" w:color="auto" w:fill="auto"/>
            <w:vAlign w:val="center"/>
          </w:tcPr>
          <w:p w14:paraId="004EB0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允许用户根据自身的工作习惯和需求，对快捷功能区域内的按钮进行自定义设置，将常用或重要的功能置顶或便于操作的位置，提高工作效率，减少操作的繁琐程度。</w:t>
            </w:r>
          </w:p>
        </w:tc>
      </w:tr>
      <w:tr w14:paraId="54A2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FBDD726">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FCB0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我的患者统计</w:t>
            </w:r>
          </w:p>
        </w:tc>
        <w:tc>
          <w:tcPr>
            <w:tcW w:w="840" w:type="pct"/>
            <w:shd w:val="clear" w:color="auto" w:fill="auto"/>
            <w:vAlign w:val="center"/>
          </w:tcPr>
          <w:p w14:paraId="186DC4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一般人群数量</w:t>
            </w:r>
          </w:p>
        </w:tc>
        <w:tc>
          <w:tcPr>
            <w:tcW w:w="2980" w:type="pct"/>
            <w:shd w:val="clear" w:color="auto" w:fill="auto"/>
            <w:vAlign w:val="center"/>
          </w:tcPr>
          <w:p w14:paraId="4B1C0C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统计所管理的一般健康人群的数量，方便医护人员了解基本群体健康状况，为开展健康教育和预防保健工作提供数据支持。</w:t>
            </w:r>
          </w:p>
        </w:tc>
      </w:tr>
      <w:tr w14:paraId="18E0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D4A8C0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E53C20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1B57B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高危人群数量</w:t>
            </w:r>
          </w:p>
        </w:tc>
        <w:tc>
          <w:tcPr>
            <w:tcW w:w="2980" w:type="pct"/>
            <w:shd w:val="clear" w:color="auto" w:fill="auto"/>
            <w:vAlign w:val="center"/>
          </w:tcPr>
          <w:p w14:paraId="698B87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呈现处于高危状态的患者数量，提醒医护人员重点关注这些患者，及时进行干预和管理，降低其患病风险，提高健康管理的针对性和有效性。</w:t>
            </w:r>
          </w:p>
        </w:tc>
      </w:tr>
      <w:tr w14:paraId="44A9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21310F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2F36E9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6A53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慢病患者数量</w:t>
            </w:r>
          </w:p>
        </w:tc>
        <w:tc>
          <w:tcPr>
            <w:tcW w:w="2980" w:type="pct"/>
            <w:shd w:val="clear" w:color="auto" w:fill="auto"/>
            <w:vAlign w:val="center"/>
          </w:tcPr>
          <w:p w14:paraId="7B65AA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统计确诊的各类慢病患者的总数，使医护人员能够清晰地掌握慢病患者的整体情况，合理安排医疗资源和随访计划，确保慢病患者的规范化管理。</w:t>
            </w:r>
          </w:p>
        </w:tc>
      </w:tr>
      <w:tr w14:paraId="3414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99B0F8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C7BFCB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9E989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未管人员数量</w:t>
            </w:r>
          </w:p>
        </w:tc>
        <w:tc>
          <w:tcPr>
            <w:tcW w:w="2980" w:type="pct"/>
            <w:shd w:val="clear" w:color="auto" w:fill="auto"/>
            <w:vAlign w:val="center"/>
          </w:tcPr>
          <w:p w14:paraId="22B1C0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显示目前尚未纳入健康管理系统的人员数量，提醒管理者和医护人员加强宣传和动员工作，将更多居民纳入健康管理中来，提高区域人群的健康管理覆盖率。</w:t>
            </w:r>
          </w:p>
        </w:tc>
      </w:tr>
      <w:tr w14:paraId="01C1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DC1667C">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A6695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当日工作成果排行</w:t>
            </w:r>
          </w:p>
        </w:tc>
        <w:tc>
          <w:tcPr>
            <w:tcW w:w="840" w:type="pct"/>
            <w:shd w:val="clear" w:color="auto" w:fill="auto"/>
            <w:vAlign w:val="center"/>
          </w:tcPr>
          <w:p w14:paraId="254BC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健康管理师工作数量</w:t>
            </w:r>
          </w:p>
        </w:tc>
        <w:tc>
          <w:tcPr>
            <w:tcW w:w="2980" w:type="pct"/>
            <w:shd w:val="clear" w:color="auto" w:fill="auto"/>
            <w:vAlign w:val="center"/>
          </w:tcPr>
          <w:p w14:paraId="15E240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对当日各健康管理师完成的工作任务量进行排名，激励健康管理师们积极工作，提高工作效率和质量，形成良好的工作竞争氛围。</w:t>
            </w:r>
          </w:p>
        </w:tc>
      </w:tr>
      <w:tr w14:paraId="3C75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D8F90A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749068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580CE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随访数量</w:t>
            </w:r>
          </w:p>
        </w:tc>
        <w:tc>
          <w:tcPr>
            <w:tcW w:w="2980" w:type="pct"/>
            <w:shd w:val="clear" w:color="auto" w:fill="auto"/>
            <w:vAlign w:val="center"/>
          </w:tcPr>
          <w:p w14:paraId="1CE55E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统计并排列当日完成的随访工作数量，督促医护人员按时完成随访任务，提高随访工作的及时性和覆盖面，确保患者得到持续有效的健康管理服务。</w:t>
            </w:r>
          </w:p>
        </w:tc>
      </w:tr>
      <w:tr w14:paraId="266A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9A08A1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1F7BF0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D3F26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双向转诊数量</w:t>
            </w:r>
          </w:p>
        </w:tc>
        <w:tc>
          <w:tcPr>
            <w:tcW w:w="2980" w:type="pct"/>
            <w:shd w:val="clear" w:color="auto" w:fill="auto"/>
            <w:vAlign w:val="center"/>
          </w:tcPr>
          <w:p w14:paraId="43D9D3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展示当日各单位或个人完成的双向转诊案例数，促进医疗资源的合理流动和利用，推动上下联动的医疗服务模式，提高转诊效率和患者就医的便利性。</w:t>
            </w:r>
          </w:p>
        </w:tc>
      </w:tr>
      <w:tr w14:paraId="13E5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B7DD93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EEF8A6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2F7EB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知识库数量</w:t>
            </w:r>
          </w:p>
        </w:tc>
        <w:tc>
          <w:tcPr>
            <w:tcW w:w="2980" w:type="pct"/>
            <w:shd w:val="clear" w:color="auto" w:fill="auto"/>
            <w:vAlign w:val="center"/>
          </w:tcPr>
          <w:p w14:paraId="2F78E7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显示知识库中当日新增或更新的知识内容数量，鼓励医护人员不断丰富和完善知识库，为临床诊疗和健康管理提供更全面、更准确的决策支持，提升医疗服务的专业水平。</w:t>
            </w:r>
          </w:p>
        </w:tc>
      </w:tr>
      <w:tr w14:paraId="6B6C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5CACB5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91FDF5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C844E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签约数量</w:t>
            </w:r>
          </w:p>
        </w:tc>
        <w:tc>
          <w:tcPr>
            <w:tcW w:w="2980" w:type="pct"/>
            <w:shd w:val="clear" w:color="auto" w:fill="auto"/>
            <w:vAlign w:val="center"/>
          </w:tcPr>
          <w:p w14:paraId="399C54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显示24小时之前的数据，统计当日与患者新签订的慢病管理服务包等协议的数量，反映慢病管理服务的推广情况，有助于提高患者的签约率和对健康管理服务的认可度，促进慢病管理工作的深入开展。</w:t>
            </w:r>
          </w:p>
        </w:tc>
      </w:tr>
      <w:tr w14:paraId="56E6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1502E9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健康档案管理</w:t>
            </w:r>
          </w:p>
        </w:tc>
        <w:tc>
          <w:tcPr>
            <w:tcW w:w="538" w:type="pct"/>
            <w:vMerge w:val="restart"/>
            <w:shd w:val="clear" w:color="auto" w:fill="auto"/>
            <w:vAlign w:val="center"/>
          </w:tcPr>
          <w:p w14:paraId="6A3C8B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w:t>
            </w:r>
          </w:p>
        </w:tc>
        <w:tc>
          <w:tcPr>
            <w:tcW w:w="840" w:type="pct"/>
            <w:shd w:val="clear" w:color="auto" w:fill="auto"/>
            <w:vAlign w:val="center"/>
          </w:tcPr>
          <w:p w14:paraId="6B2815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居民健康档案查询</w:t>
            </w:r>
          </w:p>
        </w:tc>
        <w:tc>
          <w:tcPr>
            <w:tcW w:w="2980" w:type="pct"/>
            <w:shd w:val="clear" w:color="auto" w:fill="auto"/>
            <w:vAlign w:val="center"/>
          </w:tcPr>
          <w:p w14:paraId="595204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1分钟内实现，通过多种查询方式，如姓名、身份证号、档案编号等，快速准确地检索居民的健康档案，方便医护人员在诊疗过程中随时查阅患者的既往病史、检查检验结果等信息，为提供个性化医疗服务提供依据。</w:t>
            </w:r>
          </w:p>
        </w:tc>
      </w:tr>
      <w:tr w14:paraId="2A5B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0ADDE1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C1959E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DE660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居民健康档案编辑</w:t>
            </w:r>
          </w:p>
        </w:tc>
        <w:tc>
          <w:tcPr>
            <w:tcW w:w="2980" w:type="pct"/>
            <w:shd w:val="clear" w:color="auto" w:fill="auto"/>
            <w:vAlign w:val="center"/>
          </w:tcPr>
          <w:p w14:paraId="3477DA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对已建立的居民健康档案进行信息的更新和完善，确保档案内容的准确性和完整性，及时反映患者的最新健康状况，为后续的健康管理服务提供可靠的数据支持。</w:t>
            </w:r>
          </w:p>
        </w:tc>
      </w:tr>
      <w:tr w14:paraId="3342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F3E0809">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719107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EC9DF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新建居民健康档案</w:t>
            </w:r>
          </w:p>
        </w:tc>
        <w:tc>
          <w:tcPr>
            <w:tcW w:w="2980" w:type="pct"/>
            <w:shd w:val="clear" w:color="auto" w:fill="auto"/>
            <w:vAlign w:val="center"/>
          </w:tcPr>
          <w:p w14:paraId="19BDEB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为新就诊或新纳入管理的居民创建新的健康档案，包括基本信息、既往史、家族史等内容的录入，为居民的健康管理奠定基础，实现对居民健康的全过程跟踪和管理。</w:t>
            </w:r>
          </w:p>
        </w:tc>
      </w:tr>
      <w:tr w14:paraId="2910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53102F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7FC249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A96B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新建居民慢病档案</w:t>
            </w:r>
          </w:p>
        </w:tc>
        <w:tc>
          <w:tcPr>
            <w:tcW w:w="2980" w:type="pct"/>
            <w:shd w:val="clear" w:color="auto" w:fill="auto"/>
            <w:vAlign w:val="center"/>
          </w:tcPr>
          <w:p w14:paraId="05A25B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当居民被确诊患有慢性疾病时，为其建立专门的慢病档案，记录疾病诊断、治疗方案、随访情况等详细信息，便于对慢病患者进行专项管理和监测，提高慢病管理的系统性和规范性。</w:t>
            </w:r>
          </w:p>
        </w:tc>
      </w:tr>
      <w:tr w14:paraId="1324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6669A3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8C26002">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F565C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居民健康档案导出</w:t>
            </w:r>
          </w:p>
        </w:tc>
        <w:tc>
          <w:tcPr>
            <w:tcW w:w="2980" w:type="pct"/>
            <w:shd w:val="clear" w:color="auto" w:fill="auto"/>
            <w:vAlign w:val="center"/>
          </w:tcPr>
          <w:p w14:paraId="08BE48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支持将居民健康档案以特定的格式导出，方便与其他医疗机构或相关卫生部门进行信息共享和交流，实现区域医疗信息的互联互通，提高医疗服务的整体协同性。</w:t>
            </w:r>
          </w:p>
        </w:tc>
      </w:tr>
      <w:tr w14:paraId="607D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E01069C">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27BD26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BE7D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居民档案、慢病档案模板</w:t>
            </w:r>
          </w:p>
        </w:tc>
        <w:tc>
          <w:tcPr>
            <w:tcW w:w="2980" w:type="pct"/>
            <w:shd w:val="clear" w:color="auto" w:fill="auto"/>
            <w:vAlign w:val="center"/>
          </w:tcPr>
          <w:p w14:paraId="0F5F6E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提供标准化的居民健康档案和慢病档案模板，确保档案的规范性和统一性，便于医护人员快速准确地录入信息，提高工作效率，同时也有利于数据的统计分析和质量控制。</w:t>
            </w:r>
          </w:p>
        </w:tc>
      </w:tr>
      <w:tr w14:paraId="5C02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00F54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5F8053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8F94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居民健康档案删除</w:t>
            </w:r>
          </w:p>
        </w:tc>
        <w:tc>
          <w:tcPr>
            <w:tcW w:w="2980" w:type="pct"/>
            <w:shd w:val="clear" w:color="auto" w:fill="auto"/>
            <w:vAlign w:val="center"/>
          </w:tcPr>
          <w:p w14:paraId="2CF186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在特定情况下，如档案信息错误、重复建档等，可对居民健康档案进行删除操作，但需严格遵循相关的权限管理和审批流程，确保数据的安全性和完整性。</w:t>
            </w:r>
          </w:p>
        </w:tc>
      </w:tr>
      <w:tr w14:paraId="6F65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06EEDC3">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7A46E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就诊筛查</w:t>
            </w:r>
          </w:p>
        </w:tc>
        <w:tc>
          <w:tcPr>
            <w:tcW w:w="840" w:type="pct"/>
            <w:shd w:val="clear" w:color="auto" w:fill="auto"/>
            <w:vAlign w:val="center"/>
          </w:tcPr>
          <w:p w14:paraId="7C6BBD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门急诊就诊筛选、查询</w:t>
            </w:r>
          </w:p>
        </w:tc>
        <w:tc>
          <w:tcPr>
            <w:tcW w:w="2980" w:type="pct"/>
            <w:shd w:val="clear" w:color="auto" w:fill="auto"/>
            <w:vAlign w:val="center"/>
          </w:tcPr>
          <w:p w14:paraId="2B8D60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每30分钟更新一次当天全部门诊及住院患者的档案信息（含新建档、检验检查、病历等内容），对门急诊患者的就诊记录进行筛选和查询，可根据疾病名称、症状、就诊时间等条件快速定位特定患者，方便医护人员了解患者在门急诊的诊疗情况，为后续的治疗和健康管理提供参考。</w:t>
            </w:r>
          </w:p>
        </w:tc>
      </w:tr>
      <w:tr w14:paraId="5C05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5B621F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A69AEF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EA9A2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住院就诊筛选、查询</w:t>
            </w:r>
          </w:p>
        </w:tc>
        <w:tc>
          <w:tcPr>
            <w:tcW w:w="2980" w:type="pct"/>
            <w:shd w:val="clear" w:color="auto" w:fill="auto"/>
            <w:vAlign w:val="center"/>
          </w:tcPr>
          <w:p w14:paraId="671BFD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实现对住院患者病历的筛选和查询功能，帮助医护人员全面掌握患者的住院治疗过程和病情变化，为制定出院后的康复计划和健康管理方案提供依据，确保患者得到连续性的医疗服务。</w:t>
            </w:r>
          </w:p>
        </w:tc>
      </w:tr>
      <w:tr w14:paraId="2D77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567C227">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1FC9EA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筛查与评估</w:t>
            </w:r>
          </w:p>
        </w:tc>
        <w:tc>
          <w:tcPr>
            <w:tcW w:w="840" w:type="pct"/>
            <w:shd w:val="clear" w:color="auto" w:fill="auto"/>
            <w:vAlign w:val="center"/>
          </w:tcPr>
          <w:p w14:paraId="0DF4CE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患者信息查询</w:t>
            </w:r>
          </w:p>
        </w:tc>
        <w:tc>
          <w:tcPr>
            <w:tcW w:w="2980" w:type="pct"/>
            <w:shd w:val="clear" w:color="auto" w:fill="auto"/>
            <w:vAlign w:val="center"/>
          </w:tcPr>
          <w:p w14:paraId="3E6F4E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整合患者的各类信息，包括基本档案、就诊记录、检查检验结果等，方便医护人员全面了解患者情况，为开展筛查和评估工作提供全面的数据支持。</w:t>
            </w:r>
          </w:p>
        </w:tc>
      </w:tr>
      <w:tr w14:paraId="71E6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F8A66E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6023EA2">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EA91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高危人群筛查</w:t>
            </w:r>
          </w:p>
        </w:tc>
        <w:tc>
          <w:tcPr>
            <w:tcW w:w="2980" w:type="pct"/>
            <w:shd w:val="clear" w:color="auto" w:fill="auto"/>
            <w:vAlign w:val="center"/>
          </w:tcPr>
          <w:p w14:paraId="31D22F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系统可根据患者的就诊记录自行筛查并进行入组管理。根据设定的高危人群筛选标准，对患者进行高危筛查操作，及时发现潜在的高危人群，为早期干预和预防提供依据，降低疾病的发生风险。</w:t>
            </w:r>
          </w:p>
        </w:tc>
      </w:tr>
      <w:tr w14:paraId="7433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A11250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A3FC48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CD46B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疾病风险评估</w:t>
            </w:r>
          </w:p>
        </w:tc>
        <w:tc>
          <w:tcPr>
            <w:tcW w:w="2980" w:type="pct"/>
            <w:shd w:val="clear" w:color="auto" w:fill="auto"/>
            <w:vAlign w:val="center"/>
          </w:tcPr>
          <w:p w14:paraId="38B5A6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可实现批量人群的筛查；居民可通过小程序自主筛查。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运用专业的风险评估工具和模型，对患者进行疾病风险评估，如心血管疾病风险评估、糖尿病并发症风险评估等，为患者提供个性化的风险预警和健康管理建议，提高患者对自身健康风险的认知和防范意识。</w:t>
            </w:r>
          </w:p>
        </w:tc>
      </w:tr>
      <w:tr w14:paraId="6A89C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4E992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193B6E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A092E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患者筛查详情</w:t>
            </w:r>
          </w:p>
        </w:tc>
        <w:tc>
          <w:tcPr>
            <w:tcW w:w="2980" w:type="pct"/>
            <w:shd w:val="clear" w:color="auto" w:fill="auto"/>
            <w:vAlign w:val="center"/>
          </w:tcPr>
          <w:p w14:paraId="4F8EA5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展示患者筛查过程中的详细信息，包括筛查项目、筛查结果、评估时间等，方便医护人员对筛查结果进行分析和解读，为制定后续的健康管理计划提供详细的依据。</w:t>
            </w:r>
          </w:p>
        </w:tc>
      </w:tr>
      <w:tr w14:paraId="13AD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931E65F">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E97A0B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9B9DB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患者档案管理</w:t>
            </w:r>
          </w:p>
        </w:tc>
        <w:tc>
          <w:tcPr>
            <w:tcW w:w="2980" w:type="pct"/>
            <w:shd w:val="clear" w:color="auto" w:fill="auto"/>
            <w:vAlign w:val="center"/>
          </w:tcPr>
          <w:p w14:paraId="28E79D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对患者的筛查和评估档案进行集中管理，包括档案的建立、更新、查询等操作，确保患者筛查和评估信息的完整性和连续性，为追踪患者的健康变化和评估健康管理效果提供数据支持。</w:t>
            </w:r>
          </w:p>
        </w:tc>
      </w:tr>
      <w:tr w14:paraId="7428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CE2E4A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C240D9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8D49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患者风险评估管理</w:t>
            </w:r>
          </w:p>
        </w:tc>
        <w:tc>
          <w:tcPr>
            <w:tcW w:w="2980" w:type="pct"/>
            <w:shd w:val="clear" w:color="auto" w:fill="auto"/>
            <w:vAlign w:val="center"/>
          </w:tcPr>
          <w:p w14:paraId="6BE513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对患者的风险评估结果进行动态管理和跟踪，根据患者的风险变化情况及时调整治疗方案和管理措施，实现对患者风险的全程管理，提高慢病管理的针对性和有效性。</w:t>
            </w:r>
          </w:p>
        </w:tc>
      </w:tr>
      <w:tr w14:paraId="0ECA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198AEFB">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13FA86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居民申请管理</w:t>
            </w:r>
          </w:p>
        </w:tc>
        <w:tc>
          <w:tcPr>
            <w:tcW w:w="840" w:type="pct"/>
            <w:shd w:val="clear" w:color="auto" w:fill="auto"/>
            <w:vAlign w:val="center"/>
          </w:tcPr>
          <w:p w14:paraId="3DB73E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居民申请管理</w:t>
            </w:r>
          </w:p>
        </w:tc>
        <w:tc>
          <w:tcPr>
            <w:tcW w:w="2980" w:type="pct"/>
            <w:shd w:val="clear" w:color="auto" w:fill="auto"/>
            <w:vAlign w:val="center"/>
          </w:tcPr>
          <w:p w14:paraId="5DB231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处理居民提出的各类申请，如健康档案查询申请、慢病管理服务申请、健康教育活动申请等，及时审核和回复居民的申请，确保居民能够方便快捷地获取所需的健康服务，提高居民的参与度和满意度。</w:t>
            </w:r>
          </w:p>
        </w:tc>
      </w:tr>
      <w:tr w14:paraId="2EDF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1B2498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全流程健康管理</w:t>
            </w:r>
          </w:p>
        </w:tc>
        <w:tc>
          <w:tcPr>
            <w:tcW w:w="538" w:type="pct"/>
            <w:vMerge w:val="restart"/>
            <w:shd w:val="clear" w:color="auto" w:fill="auto"/>
            <w:vAlign w:val="center"/>
          </w:tcPr>
          <w:p w14:paraId="4103EF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一般人群管理</w:t>
            </w:r>
          </w:p>
        </w:tc>
        <w:tc>
          <w:tcPr>
            <w:tcW w:w="840" w:type="pct"/>
            <w:shd w:val="clear" w:color="auto" w:fill="auto"/>
            <w:vAlign w:val="center"/>
          </w:tcPr>
          <w:p w14:paraId="4BAF24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一般人群查询</w:t>
            </w:r>
          </w:p>
        </w:tc>
        <w:tc>
          <w:tcPr>
            <w:tcW w:w="2980" w:type="pct"/>
            <w:shd w:val="clear" w:color="auto" w:fill="auto"/>
            <w:vAlign w:val="center"/>
          </w:tcPr>
          <w:p w14:paraId="1D8287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对辖区内的一般健康人群进行查询和统计，了解其基本健康状况和分布情况，为开展健康教育和预防保健工作提供数据支持，促进全民健康素养的提升。</w:t>
            </w:r>
          </w:p>
        </w:tc>
      </w:tr>
      <w:tr w14:paraId="2503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309033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533ACF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91B64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新建居民档案</w:t>
            </w:r>
          </w:p>
        </w:tc>
        <w:tc>
          <w:tcPr>
            <w:tcW w:w="2980" w:type="pct"/>
            <w:shd w:val="clear" w:color="auto" w:fill="auto"/>
            <w:vAlign w:val="center"/>
          </w:tcPr>
          <w:p w14:paraId="4696AA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为新纳入管理的一般人群建立居民健康档案，记录基本信息、生活方式等，为其提供个性化的健康管理服务奠定基础，实现对居民健康的全过程跟踪和管理。</w:t>
            </w:r>
          </w:p>
        </w:tc>
      </w:tr>
      <w:tr w14:paraId="770C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1313C5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2F9962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1F4A3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居民健康档案管理</w:t>
            </w:r>
          </w:p>
        </w:tc>
        <w:tc>
          <w:tcPr>
            <w:tcW w:w="2980" w:type="pct"/>
            <w:shd w:val="clear" w:color="auto" w:fill="auto"/>
            <w:vAlign w:val="center"/>
          </w:tcPr>
          <w:p w14:paraId="69B4CA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信息可根据患者的就诊信息，自主进行一般人群与高危人群的筛查和入组转化。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一般人群的健康档案进行日常管理，包括信息更新、随访评估（支持非慢性病科室的随访记录，即支持全院各临床科室）、疾病风险评估、高危人员评估、健康宣教、签约服务包等，确保档案内容的准确性和完整性，为开展健康干预和效果评估提供可靠的数据支持。</w:t>
            </w:r>
          </w:p>
        </w:tc>
      </w:tr>
      <w:tr w14:paraId="2E6B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D46D00A">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0CFF6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高危人群管理</w:t>
            </w:r>
          </w:p>
        </w:tc>
        <w:tc>
          <w:tcPr>
            <w:tcW w:w="840" w:type="pct"/>
            <w:shd w:val="clear" w:color="auto" w:fill="auto"/>
            <w:vAlign w:val="center"/>
          </w:tcPr>
          <w:p w14:paraId="1748D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高危人群查询</w:t>
            </w:r>
          </w:p>
        </w:tc>
        <w:tc>
          <w:tcPr>
            <w:tcW w:w="2980" w:type="pct"/>
            <w:shd w:val="clear" w:color="auto" w:fill="auto"/>
            <w:vAlign w:val="center"/>
          </w:tcPr>
          <w:p w14:paraId="048F81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快速查询和定位辖区内的高危人群，如高血压高危、糖尿病高危等，方便医护人员了解高危人群的分布和数量，为重点管理提供依据，降低疾病的发生风险。</w:t>
            </w:r>
          </w:p>
        </w:tc>
      </w:tr>
      <w:tr w14:paraId="2975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810165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4DC7B0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21481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高危人群档案管理</w:t>
            </w:r>
          </w:p>
        </w:tc>
        <w:tc>
          <w:tcPr>
            <w:tcW w:w="2980" w:type="pct"/>
            <w:shd w:val="clear" w:color="auto" w:fill="auto"/>
            <w:vAlign w:val="center"/>
          </w:tcPr>
          <w:p w14:paraId="106952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信息可根据患者的就诊信息，自主进行一般人群与高危人群的筛查和入组转化。</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高危人群的档案进行专项管理，记录高危因素、干预措施、随访评估（支持非慢性病科室的随访记录，即支持全院各临床科室）、疾病风险评估、高危人员评估、健康宣教、签约服务包等，实现对高危人群的动态跟踪和管理，提高干预效果，促进高危人群向健康人群转化。</w:t>
            </w:r>
          </w:p>
        </w:tc>
      </w:tr>
      <w:tr w14:paraId="6F2F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F01EAD8">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3A9F3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慢病患者管理</w:t>
            </w:r>
          </w:p>
        </w:tc>
        <w:tc>
          <w:tcPr>
            <w:tcW w:w="840" w:type="pct"/>
            <w:shd w:val="clear" w:color="auto" w:fill="auto"/>
            <w:vAlign w:val="center"/>
          </w:tcPr>
          <w:p w14:paraId="743408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慢病患者查询</w:t>
            </w:r>
          </w:p>
        </w:tc>
        <w:tc>
          <w:tcPr>
            <w:tcW w:w="2980" w:type="pct"/>
            <w:shd w:val="clear" w:color="auto" w:fill="auto"/>
            <w:vAlign w:val="center"/>
          </w:tcPr>
          <w:p w14:paraId="7285D7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通过多种查询条件，如疾病类型、病情严重程度、管理状态等，快速准确地检索慢病患者信息，方便医护人员了解患者的整体情况，为开展针对性的治疗和管理工作提供便利。</w:t>
            </w:r>
          </w:p>
        </w:tc>
      </w:tr>
      <w:tr w14:paraId="2F82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D077A6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DD985D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1F268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新建慢病档案</w:t>
            </w:r>
          </w:p>
        </w:tc>
        <w:tc>
          <w:tcPr>
            <w:tcW w:w="2980" w:type="pct"/>
            <w:shd w:val="clear" w:color="auto" w:fill="auto"/>
            <w:vAlign w:val="center"/>
          </w:tcPr>
          <w:p w14:paraId="6D6C5F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系统可对门诊及住院就诊患者进行自主建档并入组管理。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当患者被确诊患有慢性疾病时，及时为其建立专门的慢病档案，记录疾病诊断、治疗方案、随访计划等详细信息，确保对慢病患者的规范化管理，提高治疗效果和生活质量。</w:t>
            </w:r>
          </w:p>
        </w:tc>
      </w:tr>
      <w:tr w14:paraId="5891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34EC7EF">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2390BA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53D4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慢病患者档案管理</w:t>
            </w:r>
          </w:p>
        </w:tc>
        <w:tc>
          <w:tcPr>
            <w:tcW w:w="2980" w:type="pct"/>
            <w:shd w:val="clear" w:color="auto" w:fill="auto"/>
            <w:vAlign w:val="center"/>
          </w:tcPr>
          <w:p w14:paraId="5C341C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对慢病患者的档案进行集中管理和维护，包括信息更新、随访记录、检查检验结果录入等，实现患者信息的动态更新和全程跟踪，为制定个性化的治疗方案和健康管理计划提供全面的数据支持。</w:t>
            </w:r>
          </w:p>
        </w:tc>
      </w:tr>
      <w:tr w14:paraId="4346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1F26BAF">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D7D5C1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CBBAC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健康指标监测</w:t>
            </w:r>
          </w:p>
        </w:tc>
        <w:tc>
          <w:tcPr>
            <w:tcW w:w="2980" w:type="pct"/>
            <w:shd w:val="clear" w:color="auto" w:fill="auto"/>
            <w:vAlign w:val="center"/>
          </w:tcPr>
          <w:p w14:paraId="3E206B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显示对慢病患者的各项健康指标，如血压、血糖、血脂、心率等进行长期监测和记录，绘制健康指标趋势图，及时发现指标异常变化，为调整治疗方案提供依据，确保患者病情稳定。</w:t>
            </w:r>
          </w:p>
        </w:tc>
      </w:tr>
      <w:tr w14:paraId="3D52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E5059A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DD5ECA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8A257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慢病档案</w:t>
            </w:r>
          </w:p>
        </w:tc>
        <w:tc>
          <w:tcPr>
            <w:tcW w:w="2980" w:type="pct"/>
            <w:shd w:val="clear" w:color="auto" w:fill="auto"/>
            <w:vAlign w:val="center"/>
          </w:tcPr>
          <w:p w14:paraId="3B51E4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整合慢病患者的各类档案信息，包括基本信息、病史、治疗记录、随访记录等，形成完整的慢病患者健康档案，方便医护人员全面了解患者病情，为提供高质量的医疗服务和健康管理服务提供有力保障。</w:t>
            </w:r>
          </w:p>
        </w:tc>
      </w:tr>
      <w:tr w14:paraId="554A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F37EFAC">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69EDEF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A7411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全院随访</w:t>
            </w:r>
          </w:p>
        </w:tc>
        <w:tc>
          <w:tcPr>
            <w:tcW w:w="2980" w:type="pct"/>
            <w:shd w:val="clear" w:color="auto" w:fill="auto"/>
            <w:vAlign w:val="center"/>
          </w:tcPr>
          <w:p w14:paraId="1DC8A6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调全院各科室的随访工作，制定随访计划和流程，确保慢病患者能够按时接受随访服务，提高患者的治疗依从性和满意度，促进患者康复和病情稳定。可推广适用于非慢性病科室，即全院各临床科室均可进行随访评估并进行全流程健康管理记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随访评估会根据分级管理结果自动化进行随访周期的设置，并对管理人员进行随访提醒。即高危患者每半个月随访一次，中危患者每个月随访一次，低危患者每三个月随访一次（结合了国家基本公共卫生的随访标准）。</w:t>
            </w:r>
          </w:p>
        </w:tc>
      </w:tr>
      <w:tr w14:paraId="7C53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9BCB5F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1AB350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EFE4D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分级管理</w:t>
            </w:r>
          </w:p>
        </w:tc>
        <w:tc>
          <w:tcPr>
            <w:tcW w:w="2980" w:type="pct"/>
            <w:shd w:val="clear" w:color="auto" w:fill="auto"/>
            <w:vAlign w:val="center"/>
          </w:tcPr>
          <w:p w14:paraId="66308A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慢病患者的病情严重程度、并发症情况等因素，对患者进行危险分层管理，即将患者分为高危、中危、低危，有效落实县乡村三级诊疗机构的分级管理为不同级别的患者制定相应的治疗和随访方案，合理分配医疗资源，提高慢病管理的效率和效果。</w:t>
            </w:r>
          </w:p>
        </w:tc>
      </w:tr>
      <w:tr w14:paraId="741F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45E3A8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03B8FF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3F4B7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健康管理方案</w:t>
            </w:r>
          </w:p>
        </w:tc>
        <w:tc>
          <w:tcPr>
            <w:tcW w:w="2980" w:type="pct"/>
            <w:shd w:val="clear" w:color="auto" w:fill="auto"/>
            <w:vAlign w:val="center"/>
          </w:tcPr>
          <w:p w14:paraId="5361DF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为每位慢病患者制定个性化的健康管理方案，包括饮食指导、运动计划、用药管理、心理干预等内容，指导患者进行自我管理，提高患者对疾病的认识和自我管理能力，改善患者的生活质量和健康状况。</w:t>
            </w:r>
          </w:p>
        </w:tc>
      </w:tr>
      <w:tr w14:paraId="3529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D338C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F5B8B6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625F6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疾病风险评估</w:t>
            </w:r>
          </w:p>
        </w:tc>
        <w:tc>
          <w:tcPr>
            <w:tcW w:w="2980" w:type="pct"/>
            <w:shd w:val="clear" w:color="auto" w:fill="auto"/>
            <w:vAlign w:val="center"/>
          </w:tcPr>
          <w:p w14:paraId="623411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支持各临床科室个性化风险评估量表的维护。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定期对慢病患者进行疾病风险评估，如心血管疾病风险评估、糖尿病并发症风险评估等，及时发现潜在的风险因素，为调整治疗方案和管理措施提供依据，降低疾病风险，提高患者的预后效果。</w:t>
            </w:r>
          </w:p>
        </w:tc>
      </w:tr>
      <w:tr w14:paraId="0203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4A5C28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C3306C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A1E54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健康教育推送</w:t>
            </w:r>
          </w:p>
        </w:tc>
        <w:tc>
          <w:tcPr>
            <w:tcW w:w="2980" w:type="pct"/>
            <w:shd w:val="clear" w:color="auto" w:fill="auto"/>
            <w:vAlign w:val="center"/>
          </w:tcPr>
          <w:p w14:paraId="6805A8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支持个性化、某病种、某类人群、全部人群、标签人群的推送。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根据患者的疾病类型和健康需求，推送个性化的健康教育知识和信息，如疾病防治知识、健康生活方式指导、用药知识等，提高患者的健康意识和自我管理能力，促进患者积极参与到健康管理中来。</w:t>
            </w:r>
          </w:p>
        </w:tc>
      </w:tr>
      <w:tr w14:paraId="3919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D7E70A">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67CBAA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转诊服务中心</w:t>
            </w:r>
          </w:p>
        </w:tc>
        <w:tc>
          <w:tcPr>
            <w:tcW w:w="840" w:type="pct"/>
            <w:shd w:val="clear" w:color="auto" w:fill="auto"/>
            <w:vAlign w:val="center"/>
          </w:tcPr>
          <w:p w14:paraId="06F6F5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转诊服务监管中心</w:t>
            </w:r>
          </w:p>
        </w:tc>
        <w:tc>
          <w:tcPr>
            <w:tcW w:w="2980" w:type="pct"/>
            <w:shd w:val="clear" w:color="auto" w:fill="auto"/>
            <w:vAlign w:val="center"/>
          </w:tcPr>
          <w:p w14:paraId="1C1EF9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展示上下转诊患者信息及数据分析。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以大屏形式呈现县域内三级医疗机构的上转诊、下转诊数据，并对转诊数据进行相应统计，如门诊住院转化率、转诊数量排序、转诊趋势变化等考核维度</w:t>
            </w:r>
          </w:p>
        </w:tc>
      </w:tr>
      <w:tr w14:paraId="2705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3577BD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B13086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BDE3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转诊患者管理</w:t>
            </w:r>
          </w:p>
        </w:tc>
        <w:tc>
          <w:tcPr>
            <w:tcW w:w="2980" w:type="pct"/>
            <w:shd w:val="clear" w:color="auto" w:fill="auto"/>
            <w:vAlign w:val="center"/>
          </w:tcPr>
          <w:p w14:paraId="2379F4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转接患者数据库，对转诊机构、接诊机构、患者流向及转归进行功能操作，适用于转诊服务中心对转诊患者信息进行分诊，同时对转诊绩效进行赋分操作，以便为兑现转诊绩效提供佐证资料。</w:t>
            </w:r>
          </w:p>
        </w:tc>
      </w:tr>
      <w:tr w14:paraId="4C4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275AD4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06E430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5F41A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转诊申请及接收</w:t>
            </w:r>
          </w:p>
        </w:tc>
        <w:tc>
          <w:tcPr>
            <w:tcW w:w="2980" w:type="pct"/>
            <w:shd w:val="clear" w:color="auto" w:fill="auto"/>
            <w:vAlign w:val="center"/>
          </w:tcPr>
          <w:p w14:paraId="6E44A9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即转诊功能操作区：含诊疗转诊和档案转诊两种模式，能满足患者病情变化之后的双向诊疗服务转诊，同时满足慢病患者稳定期根据分级管理标准落实的三级诊疗机构的同质化动态档案的分级管理。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转诊申请：为基层医疗机构提供向上级医院提交转诊申请的功能，包括患者基本信息、病情简介、转诊原因等的填写和提交，确保转诊信息的准确性和完整性，提高转诊效率。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转诊接收：上级医院可接收和处理下级医疗机构提交的转诊申请，对需接收的患者进行确认和安排，确保患者能够及时得到上级医院的诊疗服务，实现上下联动的医疗服务模式。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批量操作：即批量转诊、接收、拒绝。支持对多个转诊申请进行批量处理，提高转诊工作的效率。同时，上级医院可根据患者的病情和本院的医疗资源情况，对接收的转诊患者进行接手或拒绝操作，并及时反馈结果，确保转诊工作的有序进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转诊详情查看：可查看转诊患者的详细信息，包括转诊过程中的各项记录、治疗情况、检查检验结果等，方便上级医院了解患者病情，为制定治疗方案提供全面的参考，同时也便于对转诊工作的全程跟踪和管理。</w:t>
            </w:r>
          </w:p>
        </w:tc>
      </w:tr>
      <w:tr w14:paraId="09AD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21889C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D57927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99631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转诊效果分析</w:t>
            </w:r>
          </w:p>
        </w:tc>
        <w:tc>
          <w:tcPr>
            <w:tcW w:w="2980" w:type="pct"/>
            <w:shd w:val="clear" w:color="auto" w:fill="auto"/>
            <w:vAlign w:val="center"/>
          </w:tcPr>
          <w:p w14:paraId="2FEA55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可根据不同维度对县域内患者的转诊数据进行分析，分析维度达18个。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管理转诊分析：双向转诊数据统计分析、年度双向转诊数据统计分析、各乡镇卫生院上转诊至县医院档案数量排名、县医院下转诊至各乡镇卫生院档案数据排名、慢病患者稳定期下转率分析、年度稳定期患者下转诊统计分析等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诊疗转诊分析：门诊住院转化率、短期有效就诊率统计分析、24小时内接诊率统计分析、平均转诊时间、基层医疗机构上转诊排名、上转诊工作量排名统计、县医院临床科室接收上转诊统计、县医院各临床科室下转诊统计、患者回转率（下转率）、下转诊患者复诊率、下转诊患者随访率、向上转诊规范率、向下转诊规范率等等</w:t>
            </w:r>
          </w:p>
        </w:tc>
      </w:tr>
      <w:tr w14:paraId="70C2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20EDE85">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BFD8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服务包签约</w:t>
            </w:r>
          </w:p>
        </w:tc>
        <w:tc>
          <w:tcPr>
            <w:tcW w:w="840" w:type="pct"/>
            <w:shd w:val="clear" w:color="auto" w:fill="auto"/>
            <w:vAlign w:val="center"/>
          </w:tcPr>
          <w:p w14:paraId="1DBFF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签约患者查询</w:t>
            </w:r>
          </w:p>
        </w:tc>
        <w:tc>
          <w:tcPr>
            <w:tcW w:w="2980" w:type="pct"/>
            <w:shd w:val="clear" w:color="auto" w:fill="auto"/>
            <w:vAlign w:val="center"/>
          </w:tcPr>
          <w:p w14:paraId="002D50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快速查询已签约慢病管理服务包的患者信息，了解患者的服务包类型、签约时间、有效期等，方便医护人员对签约患者进行分类管理和跟踪服务，提高服务质量和效率。</w:t>
            </w:r>
          </w:p>
        </w:tc>
      </w:tr>
      <w:tr w14:paraId="39C5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29E836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3BD9E22">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8581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患者签约操作</w:t>
            </w:r>
          </w:p>
        </w:tc>
        <w:tc>
          <w:tcPr>
            <w:tcW w:w="2980" w:type="pct"/>
            <w:shd w:val="clear" w:color="auto" w:fill="auto"/>
            <w:vAlign w:val="center"/>
          </w:tcPr>
          <w:p w14:paraId="6FDE1C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支持医院对服务包内容进行自主设置。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为患者办理慢病管理服务包的签约手续，包括服务内容的选择、费用结算、协议签订等，确保签约过程的规范性和合法性，为患者提供优质的健康管理服务。</w:t>
            </w:r>
          </w:p>
        </w:tc>
      </w:tr>
      <w:tr w14:paraId="7886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88A5DEB">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ACCAEC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28D0B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签约患者管理</w:t>
            </w:r>
          </w:p>
        </w:tc>
        <w:tc>
          <w:tcPr>
            <w:tcW w:w="2980" w:type="pct"/>
            <w:shd w:val="clear" w:color="auto" w:fill="auto"/>
            <w:vAlign w:val="center"/>
          </w:tcPr>
          <w:p w14:paraId="501DE2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对签约患者的服务包执行情况进行管理和监督，定期评估服务效果，及时处理患者在服务过程中的问题和需求，提高患者的满意度和获得感，促进慢病管理服务包的持续改进和优化。</w:t>
            </w:r>
          </w:p>
        </w:tc>
      </w:tr>
      <w:tr w14:paraId="7503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D5C3D5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E4021D0">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B1015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患者服务包管理</w:t>
            </w:r>
          </w:p>
        </w:tc>
        <w:tc>
          <w:tcPr>
            <w:tcW w:w="2980" w:type="pct"/>
            <w:shd w:val="clear" w:color="auto" w:fill="auto"/>
            <w:vAlign w:val="center"/>
          </w:tcPr>
          <w:p w14:paraId="40E030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字典库支持医院自配。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对各类慢病管理服务包的内容、价格、适用人群等信息进行管理和维护，确保服务包的合理性和有效性，为患者提供多样化的选择，满足不同患者的健康需求。</w:t>
            </w:r>
          </w:p>
        </w:tc>
      </w:tr>
      <w:tr w14:paraId="025E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20D17F1">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561A89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物联网设备绑定</w:t>
            </w:r>
          </w:p>
        </w:tc>
        <w:tc>
          <w:tcPr>
            <w:tcW w:w="840" w:type="pct"/>
            <w:shd w:val="clear" w:color="auto" w:fill="auto"/>
            <w:vAlign w:val="center"/>
          </w:tcPr>
          <w:p w14:paraId="39B08E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设备绑定</w:t>
            </w:r>
          </w:p>
        </w:tc>
        <w:tc>
          <w:tcPr>
            <w:tcW w:w="2980" w:type="pct"/>
            <w:shd w:val="clear" w:color="auto" w:fill="auto"/>
            <w:vAlign w:val="center"/>
          </w:tcPr>
          <w:p w14:paraId="6930B5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患者将个人使用的健康监测设备，如血压计、血糖仪等可穿戴设备，与健康管理平台进行绑定，实现设备数据的自动传输和同步，方便医护人员及时获取患者的健康监测数据，为远程医疗服务和健康管理提供数据支持，提高患者自我管理的便利性和依从性。</w:t>
            </w:r>
          </w:p>
        </w:tc>
      </w:tr>
      <w:tr w14:paraId="7658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1179" w:type="pct"/>
            <w:gridSpan w:val="2"/>
            <w:vMerge w:val="restart"/>
            <w:shd w:val="clear" w:color="auto" w:fill="auto"/>
            <w:vAlign w:val="center"/>
          </w:tcPr>
          <w:p w14:paraId="21A763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绩效考核</w:t>
            </w:r>
          </w:p>
        </w:tc>
        <w:tc>
          <w:tcPr>
            <w:tcW w:w="840" w:type="pct"/>
            <w:shd w:val="clear" w:color="auto" w:fill="auto"/>
            <w:vAlign w:val="center"/>
          </w:tcPr>
          <w:p w14:paraId="19A7C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工作量汇总表</w:t>
            </w:r>
          </w:p>
        </w:tc>
        <w:tc>
          <w:tcPr>
            <w:tcW w:w="2980" w:type="pct"/>
            <w:vMerge w:val="restart"/>
            <w:shd w:val="clear" w:color="auto" w:fill="auto"/>
            <w:vAlign w:val="center"/>
          </w:tcPr>
          <w:p w14:paraId="60D45F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绩效考核结果，制定合理的绩效分配方案，体现多劳多得、优绩优酬的原则，充分调动医护人员的工作积极性和主动性，提高工作效率和服务质量。查看各项慢病管理工作的进展情况，如筛查任务完成情况、随访计划执行情况等，便于管理者及时发现问题，采取措施加以改进，确保各项工作按计划推进，提高慢病管理工作的整体绩效。对医护人员的工作量进行量化统计，包括接诊患者数量、管理患者数量、随访次数等，为绩效考核提供客观、准确的数据支持，确保绩效考核结果的公平性和合理性。</w:t>
            </w:r>
          </w:p>
        </w:tc>
      </w:tr>
      <w:tr w14:paraId="0934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1179" w:type="pct"/>
            <w:gridSpan w:val="2"/>
            <w:vMerge w:val="continue"/>
            <w:shd w:val="clear" w:color="auto" w:fill="auto"/>
            <w:vAlign w:val="center"/>
          </w:tcPr>
          <w:p w14:paraId="4058D41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36966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个人工作量绩效表</w:t>
            </w:r>
          </w:p>
        </w:tc>
        <w:tc>
          <w:tcPr>
            <w:tcW w:w="2980" w:type="pct"/>
            <w:vMerge w:val="continue"/>
            <w:shd w:val="clear" w:color="auto" w:fill="auto"/>
            <w:vAlign w:val="center"/>
          </w:tcPr>
          <w:p w14:paraId="279DC60B">
            <w:pPr>
              <w:jc w:val="left"/>
              <w:rPr>
                <w:rFonts w:hint="eastAsia" w:ascii="宋体" w:hAnsi="宋体" w:eastAsia="宋体" w:cs="宋体"/>
                <w:i w:val="0"/>
                <w:iCs w:val="0"/>
                <w:color w:val="000000"/>
                <w:sz w:val="21"/>
                <w:szCs w:val="21"/>
                <w:u w:val="none"/>
              </w:rPr>
            </w:pPr>
          </w:p>
        </w:tc>
      </w:tr>
      <w:tr w14:paraId="0A88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179" w:type="pct"/>
            <w:gridSpan w:val="2"/>
            <w:vMerge w:val="continue"/>
            <w:shd w:val="clear" w:color="auto" w:fill="auto"/>
            <w:vAlign w:val="center"/>
          </w:tcPr>
          <w:p w14:paraId="6D05A0C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F64D4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认证数据填报表</w:t>
            </w:r>
          </w:p>
        </w:tc>
        <w:tc>
          <w:tcPr>
            <w:tcW w:w="2980" w:type="pct"/>
            <w:vMerge w:val="continue"/>
            <w:shd w:val="clear" w:color="auto" w:fill="auto"/>
            <w:vAlign w:val="center"/>
          </w:tcPr>
          <w:p w14:paraId="1F2CF072">
            <w:pPr>
              <w:jc w:val="left"/>
              <w:rPr>
                <w:rFonts w:hint="eastAsia" w:ascii="宋体" w:hAnsi="宋体" w:eastAsia="宋体" w:cs="宋体"/>
                <w:i w:val="0"/>
                <w:iCs w:val="0"/>
                <w:color w:val="000000"/>
                <w:sz w:val="21"/>
                <w:szCs w:val="21"/>
                <w:u w:val="none"/>
              </w:rPr>
            </w:pPr>
          </w:p>
        </w:tc>
      </w:tr>
      <w:tr w14:paraId="7B97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1179" w:type="pct"/>
            <w:gridSpan w:val="2"/>
            <w:vMerge w:val="continue"/>
            <w:shd w:val="clear" w:color="auto" w:fill="auto"/>
            <w:vAlign w:val="center"/>
          </w:tcPr>
          <w:p w14:paraId="69729E7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0CF4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双向转诊汇总表</w:t>
            </w:r>
          </w:p>
        </w:tc>
        <w:tc>
          <w:tcPr>
            <w:tcW w:w="2980" w:type="pct"/>
            <w:vMerge w:val="continue"/>
            <w:shd w:val="clear" w:color="auto" w:fill="auto"/>
            <w:vAlign w:val="center"/>
          </w:tcPr>
          <w:p w14:paraId="1EB959F7">
            <w:pPr>
              <w:jc w:val="left"/>
              <w:rPr>
                <w:rFonts w:hint="eastAsia" w:ascii="宋体" w:hAnsi="宋体" w:eastAsia="宋体" w:cs="宋体"/>
                <w:i w:val="0"/>
                <w:iCs w:val="0"/>
                <w:color w:val="000000"/>
                <w:sz w:val="21"/>
                <w:szCs w:val="21"/>
                <w:u w:val="none"/>
              </w:rPr>
            </w:pPr>
          </w:p>
        </w:tc>
      </w:tr>
      <w:tr w14:paraId="6C11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187ACB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智能化分析</w:t>
            </w:r>
          </w:p>
        </w:tc>
        <w:tc>
          <w:tcPr>
            <w:tcW w:w="538" w:type="pct"/>
            <w:shd w:val="clear" w:color="auto" w:fill="auto"/>
            <w:vAlign w:val="center"/>
          </w:tcPr>
          <w:p w14:paraId="710B0D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监管中心大屏</w:t>
            </w:r>
          </w:p>
        </w:tc>
        <w:tc>
          <w:tcPr>
            <w:tcW w:w="840" w:type="pct"/>
            <w:shd w:val="clear" w:color="auto" w:fill="auto"/>
            <w:vAlign w:val="center"/>
          </w:tcPr>
          <w:p w14:paraId="17DBCE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监管中心大屏</w:t>
            </w:r>
          </w:p>
        </w:tc>
        <w:tc>
          <w:tcPr>
            <w:tcW w:w="2980" w:type="pct"/>
            <w:shd w:val="clear" w:color="auto" w:fill="auto"/>
            <w:vAlign w:val="center"/>
          </w:tcPr>
          <w:p w14:paraId="52B307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直观的大屏展示方式，呈现区域内的慢病管理整体情况，包括患者数量、分布情况、管理效果等关键指标，为管理者提供全局视角，便于及时了解工作进展，做出科学决策，同时也可用于向上级部门或领导汇报工作成果。</w:t>
            </w:r>
          </w:p>
        </w:tc>
      </w:tr>
      <w:tr w14:paraId="13A2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B396259">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824CE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居民管理展示</w:t>
            </w:r>
          </w:p>
        </w:tc>
        <w:tc>
          <w:tcPr>
            <w:tcW w:w="840" w:type="pct"/>
            <w:shd w:val="clear" w:color="auto" w:fill="auto"/>
            <w:vAlign w:val="center"/>
          </w:tcPr>
          <w:p w14:paraId="2DD917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建档总数</w:t>
            </w:r>
          </w:p>
        </w:tc>
        <w:tc>
          <w:tcPr>
            <w:tcW w:w="2980" w:type="pct"/>
            <w:shd w:val="clear" w:color="auto" w:fill="auto"/>
            <w:vAlign w:val="center"/>
          </w:tcPr>
          <w:p w14:paraId="2119A8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显示所管理区域内居民健康档案的总建立数量，反映健康管理的覆盖面和基础工作情况，为评估健康管理工作的推进程度提供依据。</w:t>
            </w:r>
          </w:p>
        </w:tc>
      </w:tr>
      <w:tr w14:paraId="6269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0614CD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6AE4BA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25327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一般人群数量</w:t>
            </w:r>
          </w:p>
        </w:tc>
        <w:tc>
          <w:tcPr>
            <w:tcW w:w="2980" w:type="pct"/>
            <w:shd w:val="clear" w:color="auto" w:fill="auto"/>
            <w:vAlign w:val="center"/>
          </w:tcPr>
          <w:p w14:paraId="2C80B2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呈现区域内处于健康状态的一般人群数量，体现全民健康的基本情况，为开展健康促进工作提供参考。</w:t>
            </w:r>
          </w:p>
        </w:tc>
      </w:tr>
      <w:tr w14:paraId="7FBD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67F953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9C3689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B4824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高危人群数量</w:t>
            </w:r>
          </w:p>
        </w:tc>
        <w:tc>
          <w:tcPr>
            <w:tcW w:w="2980" w:type="pct"/>
            <w:shd w:val="clear" w:color="auto" w:fill="auto"/>
            <w:vAlign w:val="center"/>
          </w:tcPr>
          <w:p w14:paraId="7619B1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统计高危人群的总数量，使管理者能够及时了解高危人群的规模和变化趋势，为重点干预工作提供方向，降低疾病的发生风险。</w:t>
            </w:r>
          </w:p>
        </w:tc>
      </w:tr>
      <w:tr w14:paraId="56AD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5C8F88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D71B02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1BE8E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专病高危人群数量</w:t>
            </w:r>
          </w:p>
        </w:tc>
        <w:tc>
          <w:tcPr>
            <w:tcW w:w="2980" w:type="pct"/>
            <w:shd w:val="clear" w:color="auto" w:fill="auto"/>
            <w:vAlign w:val="center"/>
          </w:tcPr>
          <w:p w14:paraId="2A66AA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分别展示不同专病（如高血压、糖尿病等）的高危人群数量，帮助医护人员有针对性地开展专病预防和干预工作，提高专病管理水平。</w:t>
            </w:r>
          </w:p>
        </w:tc>
      </w:tr>
      <w:tr w14:paraId="39C5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3B404A3">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CD738A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5F57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慢病患者数量</w:t>
            </w:r>
          </w:p>
        </w:tc>
        <w:tc>
          <w:tcPr>
            <w:tcW w:w="2980" w:type="pct"/>
            <w:shd w:val="clear" w:color="auto" w:fill="auto"/>
            <w:vAlign w:val="center"/>
          </w:tcPr>
          <w:p w14:paraId="5B0BEF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统计各类慢病患者的总数量，便于管理者掌握慢病患者的总体情况，合理安排医疗资源和管理措施，提高慢病管理的整体效果。</w:t>
            </w:r>
          </w:p>
        </w:tc>
      </w:tr>
      <w:tr w14:paraId="3569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8362ACE">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9F2CFC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44570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分类慢病患者数量</w:t>
            </w:r>
          </w:p>
        </w:tc>
        <w:tc>
          <w:tcPr>
            <w:tcW w:w="2980" w:type="pct"/>
            <w:shd w:val="clear" w:color="auto" w:fill="auto"/>
            <w:vAlign w:val="center"/>
          </w:tcPr>
          <w:p w14:paraId="1194FD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按照疾病类型对慢病患者进行分类统计，如心血管疾病患者、呼吸系统疾病患者等，为开展疾病亚专科管理和研究提供数据支持，促进慢病管理的精细化发展。</w:t>
            </w:r>
          </w:p>
        </w:tc>
      </w:tr>
      <w:tr w14:paraId="405E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2436ED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3567D7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4D6D8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档案信息展示</w:t>
            </w:r>
          </w:p>
        </w:tc>
        <w:tc>
          <w:tcPr>
            <w:tcW w:w="2980" w:type="pct"/>
            <w:shd w:val="clear" w:color="auto" w:fill="auto"/>
            <w:vAlign w:val="center"/>
          </w:tcPr>
          <w:p w14:paraId="441EE5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对居民健康档案中的关键信息进行展示和分析，如基本信息、既往病史、家族史等，为医护人员提供全面的患者背景信息，有助于制定个性化的健康管理方案，提高健康管理的科学性和有效性。</w:t>
            </w:r>
          </w:p>
        </w:tc>
      </w:tr>
      <w:tr w14:paraId="214A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824AF2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FA777A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28FD6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管理信息展示</w:t>
            </w:r>
          </w:p>
        </w:tc>
        <w:tc>
          <w:tcPr>
            <w:tcW w:w="2980" w:type="pct"/>
            <w:shd w:val="clear" w:color="auto" w:fill="auto"/>
            <w:vAlign w:val="center"/>
          </w:tcPr>
          <w:p w14:paraId="74D2FA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呈现慢病管理过程中的各项管理信息，如随访情况、干预措施执行情况、治疗效果评估等，便于管理者及时了解管理工作的落实情况，发现问题并及时改进，确保慢病管理工作的质量和效果。</w:t>
            </w:r>
          </w:p>
        </w:tc>
      </w:tr>
      <w:tr w14:paraId="0CD3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5C64883">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05E3A90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1369A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生活方式分类展示</w:t>
            </w:r>
          </w:p>
        </w:tc>
        <w:tc>
          <w:tcPr>
            <w:tcW w:w="2980" w:type="pct"/>
            <w:shd w:val="clear" w:color="auto" w:fill="auto"/>
            <w:vAlign w:val="center"/>
          </w:tcPr>
          <w:p w14:paraId="2C0BDE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居民的生活方式进行分类统计和展示，如饮食习惯、运动情况、吸烟喝酒情况等，分析生活方式与健康状况之间的关系，为开展健康生活方式干预提供依据，引导居民养成良好的生活习惯，预防和控制慢性疾病的发生发展。</w:t>
            </w:r>
          </w:p>
        </w:tc>
      </w:tr>
      <w:tr w14:paraId="1A35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BFA3090">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707164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高危人群管理</w:t>
            </w:r>
          </w:p>
        </w:tc>
        <w:tc>
          <w:tcPr>
            <w:tcW w:w="840" w:type="pct"/>
            <w:shd w:val="clear" w:color="auto" w:fill="auto"/>
            <w:vAlign w:val="center"/>
          </w:tcPr>
          <w:p w14:paraId="1E01BF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高危人群建档数量统计</w:t>
            </w:r>
          </w:p>
        </w:tc>
        <w:tc>
          <w:tcPr>
            <w:tcW w:w="2980" w:type="pct"/>
            <w:shd w:val="clear" w:color="auto" w:fill="auto"/>
            <w:vAlign w:val="center"/>
          </w:tcPr>
          <w:p w14:paraId="78ED68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统计高危人群的建档总数量，反映对高危人群的管理覆盖情况，为评估高危人群管理工作成效提供基础数据，同时也为后续的干预措施实施提供依据。</w:t>
            </w:r>
          </w:p>
        </w:tc>
      </w:tr>
      <w:tr w14:paraId="7A5A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7A37C26">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1B8D09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慢病患者管理</w:t>
            </w:r>
          </w:p>
        </w:tc>
        <w:tc>
          <w:tcPr>
            <w:tcW w:w="840" w:type="pct"/>
            <w:shd w:val="clear" w:color="auto" w:fill="auto"/>
            <w:vAlign w:val="center"/>
          </w:tcPr>
          <w:p w14:paraId="2BA307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管理效果分析</w:t>
            </w:r>
          </w:p>
        </w:tc>
        <w:tc>
          <w:tcPr>
            <w:tcW w:w="2980" w:type="pct"/>
            <w:shd w:val="clear" w:color="auto" w:fill="auto"/>
            <w:vAlign w:val="center"/>
          </w:tcPr>
          <w:p w14:paraId="74D4A1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含对慢病患者管理指标、诊疗指标、效果指标、费用指标等模块的70余个维度的质控分析。</w:t>
            </w:r>
          </w:p>
        </w:tc>
      </w:tr>
      <w:tr w14:paraId="4406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9ACE255">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282781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慢病中心认证</w:t>
            </w:r>
          </w:p>
        </w:tc>
        <w:tc>
          <w:tcPr>
            <w:tcW w:w="840" w:type="pct"/>
            <w:shd w:val="clear" w:color="auto" w:fill="auto"/>
            <w:vAlign w:val="center"/>
          </w:tcPr>
          <w:p w14:paraId="19C8A7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认证指标的维度分析</w:t>
            </w:r>
          </w:p>
        </w:tc>
        <w:tc>
          <w:tcPr>
            <w:tcW w:w="2980" w:type="pct"/>
            <w:shd w:val="clear" w:color="auto" w:fill="auto"/>
            <w:vAlign w:val="center"/>
          </w:tcPr>
          <w:p w14:paraId="02010A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含国家项目组对县域慢病管理中心认证所需的维度指标，支持数据导出和图形分析佐证。</w:t>
            </w:r>
          </w:p>
        </w:tc>
      </w:tr>
      <w:tr w14:paraId="6539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67100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知识库管理</w:t>
            </w:r>
          </w:p>
        </w:tc>
        <w:tc>
          <w:tcPr>
            <w:tcW w:w="538" w:type="pct"/>
            <w:vMerge w:val="restart"/>
            <w:shd w:val="clear" w:color="auto" w:fill="auto"/>
            <w:vAlign w:val="center"/>
          </w:tcPr>
          <w:p w14:paraId="66766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管理方案模板管理</w:t>
            </w:r>
          </w:p>
        </w:tc>
        <w:tc>
          <w:tcPr>
            <w:tcW w:w="840" w:type="pct"/>
            <w:shd w:val="clear" w:color="auto" w:fill="auto"/>
            <w:vAlign w:val="center"/>
          </w:tcPr>
          <w:p w14:paraId="4330A2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饮食指导模板管理</w:t>
            </w:r>
          </w:p>
        </w:tc>
        <w:tc>
          <w:tcPr>
            <w:tcW w:w="2980" w:type="pct"/>
            <w:shd w:val="clear" w:color="auto" w:fill="auto"/>
            <w:vAlign w:val="center"/>
          </w:tcPr>
          <w:p w14:paraId="760269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多种疾病的饮食指导模板，如糖尿病饮食、高血压饮食等，医护人员可根据患者的具体病情和需求，选择合适的模板进行个性化修改和调整，为患者提供科学合理的饮食指导方案，帮助患者控制疾病发展，提高生活质量。</w:t>
            </w:r>
          </w:p>
        </w:tc>
      </w:tr>
      <w:tr w14:paraId="3D9E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C08EAE1">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096542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A93B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运动指导模板管理</w:t>
            </w:r>
          </w:p>
        </w:tc>
        <w:tc>
          <w:tcPr>
            <w:tcW w:w="2980" w:type="pct"/>
            <w:shd w:val="clear" w:color="auto" w:fill="auto"/>
            <w:vAlign w:val="center"/>
          </w:tcPr>
          <w:p w14:paraId="2150D0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涵盖不同疾病和不同年龄段患者的运动指导模板，包括运动方式、运动强度、运动时间等方面的建议，为患者制定个性化的运动计划，促进患者康复和健康状况的改善，增强患者的身体素质和免疫力。</w:t>
            </w:r>
          </w:p>
        </w:tc>
      </w:tr>
      <w:tr w14:paraId="7CF1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AB3A9B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365C0E3">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6CA366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心理指导模板管理</w:t>
            </w:r>
          </w:p>
        </w:tc>
        <w:tc>
          <w:tcPr>
            <w:tcW w:w="2980" w:type="pct"/>
            <w:shd w:val="clear" w:color="auto" w:fill="auto"/>
            <w:vAlign w:val="center"/>
          </w:tcPr>
          <w:p w14:paraId="67F775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针对患者在疾病治疗过程中可能出现的心理问题，如焦虑、抑郁等，提供相应的心理指导模板，帮助医护人员对患者进行心理干预和支持，缓解患者的心理压力，提高患者的心理健康水平和治疗依从性。</w:t>
            </w:r>
          </w:p>
        </w:tc>
      </w:tr>
      <w:tr w14:paraId="4D15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67B520B">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47D366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C8459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用药指导模板管理</w:t>
            </w:r>
          </w:p>
        </w:tc>
        <w:tc>
          <w:tcPr>
            <w:tcW w:w="2980" w:type="pct"/>
            <w:shd w:val="clear" w:color="auto" w:fill="auto"/>
            <w:vAlign w:val="center"/>
          </w:tcPr>
          <w:p w14:paraId="329BC7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对各类疾病的常用药物使用方法、注意事项、不良反应等信息进行整理和归纳，形成用药指导模板，方便医护人员向患者解释和宣传用药知识，确保患者正确用药，增强治疗效果，减少药物不良反应的发生。</w:t>
            </w:r>
          </w:p>
        </w:tc>
      </w:tr>
      <w:tr w14:paraId="68E7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1517030">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839B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患者提醒模板管理</w:t>
            </w:r>
          </w:p>
        </w:tc>
        <w:tc>
          <w:tcPr>
            <w:tcW w:w="840" w:type="pct"/>
            <w:shd w:val="clear" w:color="auto" w:fill="auto"/>
            <w:vAlign w:val="center"/>
          </w:tcPr>
          <w:p w14:paraId="79245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复诊提醒模板管理</w:t>
            </w:r>
          </w:p>
        </w:tc>
        <w:tc>
          <w:tcPr>
            <w:tcW w:w="2980" w:type="pct"/>
            <w:shd w:val="clear" w:color="auto" w:fill="auto"/>
            <w:vAlign w:val="center"/>
          </w:tcPr>
          <w:p w14:paraId="741104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设计多样化的复诊提醒模板，通过短信、微信等多种方式提前通知患者复诊时间和地点，提高患者的复诊率，确保患者能够按时接受治疗和随访，促进疾病的康复和稳定。</w:t>
            </w:r>
          </w:p>
        </w:tc>
      </w:tr>
      <w:tr w14:paraId="6F7F7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AA2170C">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D6B18A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67CAD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用药提醒模板管理</w:t>
            </w:r>
          </w:p>
        </w:tc>
        <w:tc>
          <w:tcPr>
            <w:tcW w:w="2980" w:type="pct"/>
            <w:shd w:val="clear" w:color="auto" w:fill="auto"/>
            <w:vAlign w:val="center"/>
          </w:tcPr>
          <w:p w14:paraId="344446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根据患者的用药方案，制定个性化的用药提醒模板，提醒患者按时服药，避免漏服、错服等情况的发生，提高患者的用药依从性，保证治疗的连续性和有效性。</w:t>
            </w:r>
          </w:p>
        </w:tc>
      </w:tr>
      <w:tr w14:paraId="6C29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8A2E289">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2BAE83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问卷调查</w:t>
            </w:r>
          </w:p>
        </w:tc>
        <w:tc>
          <w:tcPr>
            <w:tcW w:w="840" w:type="pct"/>
            <w:shd w:val="clear" w:color="auto" w:fill="auto"/>
            <w:vAlign w:val="center"/>
          </w:tcPr>
          <w:p w14:paraId="234873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问卷调查新建</w:t>
            </w:r>
          </w:p>
        </w:tc>
        <w:tc>
          <w:tcPr>
            <w:tcW w:w="2980" w:type="pct"/>
            <w:shd w:val="clear" w:color="auto" w:fill="auto"/>
            <w:vAlign w:val="center"/>
          </w:tcPr>
          <w:p w14:paraId="1CD4C8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允许医护人员根据不同的调查目的和需求，创建各类问卷调查，如患者满意度调查、健康需求调查、治疗效果评估调查等，为收集患者反馈信息和开展医疗质量评估提供工具支持。</w:t>
            </w:r>
          </w:p>
        </w:tc>
      </w:tr>
      <w:tr w14:paraId="0CDD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0F17BC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C7EB0D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164B4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问卷调查管理</w:t>
            </w:r>
          </w:p>
        </w:tc>
        <w:tc>
          <w:tcPr>
            <w:tcW w:w="2980" w:type="pct"/>
            <w:shd w:val="clear" w:color="auto" w:fill="auto"/>
            <w:vAlign w:val="center"/>
          </w:tcPr>
          <w:p w14:paraId="33CAC7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对已创建的问卷调查进行管理和维护，包括问卷的发布、回收、数据分析等功能，方便医护人员及时了解调查结果，为改进医疗服务和健康管理措施提供依据。</w:t>
            </w:r>
          </w:p>
        </w:tc>
      </w:tr>
      <w:tr w14:paraId="3A8E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233E6F4">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4F5676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智能化管理路径</w:t>
            </w:r>
          </w:p>
        </w:tc>
        <w:tc>
          <w:tcPr>
            <w:tcW w:w="840" w:type="pct"/>
            <w:shd w:val="clear" w:color="auto" w:fill="auto"/>
            <w:vAlign w:val="center"/>
          </w:tcPr>
          <w:p w14:paraId="1782B8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智能化管理路径</w:t>
            </w:r>
          </w:p>
        </w:tc>
        <w:tc>
          <w:tcPr>
            <w:tcW w:w="2980" w:type="pct"/>
            <w:shd w:val="clear" w:color="auto" w:fill="auto"/>
            <w:vAlign w:val="center"/>
          </w:tcPr>
          <w:p w14:paraId="4BA940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患者的疾病诊断和病情评估结果，为患者提供智能化的管理路径推荐，包括诊疗流程、检查检验项目、治疗方案、随访计划等方面的建议，提高医疗服务的规范性和效率，同时也为患者提供明确的就医指引，改善患者的就医体验。</w:t>
            </w:r>
          </w:p>
        </w:tc>
      </w:tr>
      <w:tr w14:paraId="6661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0E60BC8">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6FFED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健康宣教模板管理</w:t>
            </w:r>
          </w:p>
        </w:tc>
        <w:tc>
          <w:tcPr>
            <w:tcW w:w="840" w:type="pct"/>
            <w:shd w:val="clear" w:color="auto" w:fill="auto"/>
            <w:vAlign w:val="center"/>
          </w:tcPr>
          <w:p w14:paraId="461575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宣教文章管理</w:t>
            </w:r>
          </w:p>
        </w:tc>
        <w:tc>
          <w:tcPr>
            <w:tcW w:w="2980" w:type="pct"/>
            <w:shd w:val="clear" w:color="auto" w:fill="auto"/>
            <w:vAlign w:val="center"/>
          </w:tcPr>
          <w:p w14:paraId="42FDB5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对各类健康宣教文章进行集中管理，包括文章的编辑、审核、发布等功能，确保宣教内容的科学性、准确性和时效性，为患者和居民提供丰富的健康知识资源，提高健康教育的效果和覆盖面。</w:t>
            </w:r>
          </w:p>
        </w:tc>
      </w:tr>
      <w:tr w14:paraId="0162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11E226F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277A1AD">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6931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宣教视频管理</w:t>
            </w:r>
          </w:p>
        </w:tc>
        <w:tc>
          <w:tcPr>
            <w:tcW w:w="2980" w:type="pct"/>
            <w:shd w:val="clear" w:color="auto" w:fill="auto"/>
            <w:vAlign w:val="center"/>
          </w:tcPr>
          <w:p w14:paraId="6FCC40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整合优质的健康宣教视频资源，如疾病防治知识视频、健康生活方式指导视频等，并进行分类管理和展示，方便患者和居民根据自己的需求选择观看，增强健康教育的趣味性和吸引力，提高健康知识的传播效果。</w:t>
            </w:r>
          </w:p>
        </w:tc>
      </w:tr>
      <w:tr w14:paraId="615D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0419F00">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1CD3308C">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DFBE8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宣教转载管理</w:t>
            </w:r>
          </w:p>
        </w:tc>
        <w:tc>
          <w:tcPr>
            <w:tcW w:w="2980" w:type="pct"/>
            <w:shd w:val="clear" w:color="auto" w:fill="auto"/>
            <w:vAlign w:val="center"/>
          </w:tcPr>
          <w:p w14:paraId="0AE82E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支持对优质的健康宣教内容进行转载和分享，扩大健康知识的传播范围，提高公众的健康意识和健康素养，促进全社会形成良好的健康氛围。</w:t>
            </w:r>
          </w:p>
        </w:tc>
      </w:tr>
      <w:tr w14:paraId="5A2D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7841F4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基础信息管理</w:t>
            </w:r>
          </w:p>
        </w:tc>
        <w:tc>
          <w:tcPr>
            <w:tcW w:w="538" w:type="pct"/>
            <w:shd w:val="clear" w:color="auto" w:fill="auto"/>
            <w:vAlign w:val="center"/>
          </w:tcPr>
          <w:p w14:paraId="6A1FEB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行政区划管理</w:t>
            </w:r>
          </w:p>
        </w:tc>
        <w:tc>
          <w:tcPr>
            <w:tcW w:w="840" w:type="pct"/>
            <w:shd w:val="clear" w:color="auto" w:fill="auto"/>
            <w:vAlign w:val="center"/>
          </w:tcPr>
          <w:p w14:paraId="24D69D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0543FC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对区域内各级行政区划信息进行维护和管理，确保医疗数据的准确统计和分析，方便按照不同行政区域对慢病管理情况进行汇总和评估，为制定区域卫生规划和资源配置提供依据。</w:t>
            </w:r>
          </w:p>
        </w:tc>
      </w:tr>
      <w:tr w14:paraId="4D3B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006CBAE">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58C7D9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机构管理</w:t>
            </w:r>
          </w:p>
        </w:tc>
        <w:tc>
          <w:tcPr>
            <w:tcW w:w="840" w:type="pct"/>
            <w:shd w:val="clear" w:color="auto" w:fill="auto"/>
            <w:vAlign w:val="center"/>
          </w:tcPr>
          <w:p w14:paraId="5C20A3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1BF424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对参与慢病管理的各级医疗机构信息进行管理，包括机构名称、地址、联系方式、科室设置等，便于建立完善的工作网络和协同机制，加强医疗机构之间的沟通与协作，提高医疗服务的整体协同性和效率。</w:t>
            </w:r>
          </w:p>
        </w:tc>
      </w:tr>
      <w:tr w14:paraId="58D9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F02988F">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7B3115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科室管理</w:t>
            </w:r>
          </w:p>
        </w:tc>
        <w:tc>
          <w:tcPr>
            <w:tcW w:w="840" w:type="pct"/>
            <w:shd w:val="clear" w:color="auto" w:fill="auto"/>
            <w:vAlign w:val="center"/>
          </w:tcPr>
          <w:p w14:paraId="7DB3B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1F899A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对各医疗机构内部的科室信息进行维护和管理，明确各科室的职责和功能，为患者提供准确的就医指引，同时也有利于对科室的工作情况进行统计分析和绩效考核，促进科室之间的良性竞争和发展。</w:t>
            </w:r>
          </w:p>
        </w:tc>
      </w:tr>
      <w:tr w14:paraId="55D9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D80EE43">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3C2BD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角色管理</w:t>
            </w:r>
          </w:p>
        </w:tc>
        <w:tc>
          <w:tcPr>
            <w:tcW w:w="840" w:type="pct"/>
            <w:shd w:val="clear" w:color="auto" w:fill="auto"/>
            <w:vAlign w:val="center"/>
          </w:tcPr>
          <w:p w14:paraId="2F8AC8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4BD101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定义和管理不同用户角色的权限和职责，如医生、护士、健康管理师、管理员等，确保每个用户在平台上能够进行与其角色相匹配的操作，保障数据的安全性和系统的稳定性，实现精细化的权限控制和管理工作。</w:t>
            </w:r>
          </w:p>
        </w:tc>
      </w:tr>
      <w:tr w14:paraId="0699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FFC7182">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4D3681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用户管理</w:t>
            </w:r>
          </w:p>
        </w:tc>
        <w:tc>
          <w:tcPr>
            <w:tcW w:w="840" w:type="pct"/>
            <w:shd w:val="clear" w:color="auto" w:fill="auto"/>
            <w:vAlign w:val="center"/>
          </w:tcPr>
          <w:p w14:paraId="2BA8A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247507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对平台的所有用户信息进行集中管理，包括用户的注册、认证、密码修改、账号冻结等操作，确保用户信息的准确性和安全性，同时也有助于及时处理用户在使用过程中遇到的问题，提供个性化的服务和支持。</w:t>
            </w:r>
          </w:p>
        </w:tc>
      </w:tr>
      <w:tr w14:paraId="4171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5BFF5D7">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0106D8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病种管理</w:t>
            </w:r>
          </w:p>
        </w:tc>
        <w:tc>
          <w:tcPr>
            <w:tcW w:w="840" w:type="pct"/>
            <w:shd w:val="clear" w:color="auto" w:fill="auto"/>
            <w:vAlign w:val="center"/>
          </w:tcPr>
          <w:p w14:paraId="3F5FDA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5CA95B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各类疾病信息进行标准化管理，包括疾病的名称、编码、诊断标准、治疗指南等，确保医疗数据的一致性和准确性，为临床诊疗和健康管理提供规范的指导，同时也有利于数据分析和统计工作的开展，为医疗质量的提升和科研工作的开展提供数据支持。</w:t>
            </w:r>
          </w:p>
        </w:tc>
      </w:tr>
      <w:tr w14:paraId="768C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0CFD339D">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37C6AB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病种分级分标管理</w:t>
            </w:r>
          </w:p>
        </w:tc>
        <w:tc>
          <w:tcPr>
            <w:tcW w:w="840" w:type="pct"/>
            <w:shd w:val="clear" w:color="auto" w:fill="auto"/>
            <w:vAlign w:val="center"/>
          </w:tcPr>
          <w:p w14:paraId="6B6154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64CFCC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根据不同疾病的严重程度、预后情况等因素，制定相应的分级标准和分标方法，为患者的病情评估和分级管理提供依据，确保患者能够得到适宜的医疗服务和健康管理措施，提高医疗资源的利用效率和治疗效果。</w:t>
            </w:r>
          </w:p>
        </w:tc>
      </w:tr>
      <w:tr w14:paraId="1AB1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721086F">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66D2E3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患者标签管理</w:t>
            </w:r>
          </w:p>
        </w:tc>
        <w:tc>
          <w:tcPr>
            <w:tcW w:w="840" w:type="pct"/>
            <w:shd w:val="clear" w:color="auto" w:fill="auto"/>
            <w:vAlign w:val="center"/>
          </w:tcPr>
          <w:p w14:paraId="59B342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21D62E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为患者设置个性化的标签，如疾病类型、治疗阶段、风险等级等，方便医护人员快速了解患者的关键特征和需求，实现对患者的精准管理和个性化服务，提高工作效率和服务质量，同时也为数据分析和挖掘提供便利条件。</w:t>
            </w:r>
          </w:p>
        </w:tc>
      </w:tr>
      <w:tr w14:paraId="0723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30E29236">
            <w:pPr>
              <w:jc w:val="center"/>
              <w:rPr>
                <w:rFonts w:hint="eastAsia" w:ascii="宋体" w:hAnsi="宋体" w:eastAsia="宋体" w:cs="宋体"/>
                <w:i w:val="0"/>
                <w:iCs w:val="0"/>
                <w:color w:val="000000"/>
                <w:sz w:val="21"/>
                <w:szCs w:val="21"/>
                <w:u w:val="none"/>
              </w:rPr>
            </w:pPr>
          </w:p>
        </w:tc>
        <w:tc>
          <w:tcPr>
            <w:tcW w:w="538" w:type="pct"/>
            <w:shd w:val="clear" w:color="auto" w:fill="auto"/>
            <w:vAlign w:val="center"/>
          </w:tcPr>
          <w:p w14:paraId="299430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服务包管理</w:t>
            </w:r>
          </w:p>
        </w:tc>
        <w:tc>
          <w:tcPr>
            <w:tcW w:w="840" w:type="pct"/>
            <w:shd w:val="clear" w:color="auto" w:fill="auto"/>
            <w:vAlign w:val="center"/>
          </w:tcPr>
          <w:p w14:paraId="657496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2980" w:type="pct"/>
            <w:shd w:val="clear" w:color="auto" w:fill="auto"/>
            <w:vAlign w:val="center"/>
          </w:tcPr>
          <w:p w14:paraId="2C225C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慢病管理服务包的各类信息进行管理，包括服务包的名称、内容、价格、适用人群等，确保服务包的合理性和规范性，为患者提供多样化的选择，满足不同患者的健康需求，同时也为服务包的推广和运营提供数据支持和管理手段。</w:t>
            </w:r>
          </w:p>
        </w:tc>
      </w:tr>
      <w:tr w14:paraId="366E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restart"/>
            <w:shd w:val="clear" w:color="auto" w:fill="auto"/>
            <w:vAlign w:val="center"/>
          </w:tcPr>
          <w:p w14:paraId="2F042C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移动端（居民、医生小程序）</w:t>
            </w:r>
          </w:p>
        </w:tc>
        <w:tc>
          <w:tcPr>
            <w:tcW w:w="538" w:type="pct"/>
            <w:vMerge w:val="restart"/>
            <w:shd w:val="clear" w:color="auto" w:fill="auto"/>
            <w:vAlign w:val="center"/>
          </w:tcPr>
          <w:p w14:paraId="3A0212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首页</w:t>
            </w:r>
          </w:p>
        </w:tc>
        <w:tc>
          <w:tcPr>
            <w:tcW w:w="840" w:type="pct"/>
            <w:shd w:val="clear" w:color="auto" w:fill="auto"/>
            <w:vAlign w:val="center"/>
          </w:tcPr>
          <w:p w14:paraId="062FFA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管理方案</w:t>
            </w:r>
          </w:p>
        </w:tc>
        <w:tc>
          <w:tcPr>
            <w:tcW w:w="2980" w:type="pct"/>
            <w:shd w:val="clear" w:color="auto" w:fill="auto"/>
            <w:vAlign w:val="center"/>
          </w:tcPr>
          <w:p w14:paraId="5F34FD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示居民个人的健康管理方案，包括饮食指导、运动计划、用药管理等个性化内容。居民可随时查看当前管理方案详情，了解自身健康管理目标和执行计划，支持方案的更新展示，帮助居民清晰掌握健康管理路径，提高自我管理的依从性。</w:t>
            </w:r>
          </w:p>
        </w:tc>
      </w:tr>
      <w:tr w14:paraId="7AC3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E53943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8D700D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6276C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健康宣教</w:t>
            </w:r>
          </w:p>
        </w:tc>
        <w:tc>
          <w:tcPr>
            <w:tcW w:w="2980" w:type="pct"/>
            <w:shd w:val="clear" w:color="auto" w:fill="auto"/>
            <w:vAlign w:val="center"/>
          </w:tcPr>
          <w:p w14:paraId="4F54B9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整合平台推送的各类健康教育内容，包括疾病防治知识、健康生活方式指导、用药知识等。居民可根据自身需求浏览学习，提升健康素养和自我保健能力，促进居民积极参与健康管理。</w:t>
            </w:r>
          </w:p>
        </w:tc>
      </w:tr>
      <w:tr w14:paraId="2DDD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B6F749A">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F4E7EB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33259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申请加入管理</w:t>
            </w:r>
          </w:p>
        </w:tc>
        <w:tc>
          <w:tcPr>
            <w:tcW w:w="2980" w:type="pct"/>
            <w:shd w:val="clear" w:color="auto" w:fill="auto"/>
            <w:vAlign w:val="center"/>
          </w:tcPr>
          <w:p w14:paraId="12D6A3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居民可通过小程序主动提交纳入健康管理的申请，填写基本信息，申请加入慢病管理或高危人群管理服务。申请信息将同步至管理端，由医护人员审核处理，增强居民对健康管理平台的参与度和主动性。</w:t>
            </w:r>
          </w:p>
        </w:tc>
      </w:tr>
      <w:tr w14:paraId="75E2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3A9135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4BB84011">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ABFA9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健康教育</w:t>
            </w:r>
          </w:p>
        </w:tc>
        <w:tc>
          <w:tcPr>
            <w:tcW w:w="2980" w:type="pct"/>
            <w:shd w:val="clear" w:color="auto" w:fill="auto"/>
            <w:vAlign w:val="center"/>
          </w:tcPr>
          <w:p w14:paraId="502BEB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集中展示平台发布的健康教育文章、视频等多媒体内容，支持关键词搜索和收藏功能。内容涵盖疾病预防、康复指导、健康生活方式等，满足居民多样化的健康知识需求，提升健康教育覆盖面和效果。</w:t>
            </w:r>
          </w:p>
        </w:tc>
      </w:tr>
      <w:tr w14:paraId="341F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7A263BDE">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40A101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消息管理</w:t>
            </w:r>
          </w:p>
        </w:tc>
        <w:tc>
          <w:tcPr>
            <w:tcW w:w="840" w:type="pct"/>
            <w:shd w:val="clear" w:color="auto" w:fill="auto"/>
            <w:vAlign w:val="center"/>
          </w:tcPr>
          <w:p w14:paraId="7BF6A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管理方案推送</w:t>
            </w:r>
          </w:p>
        </w:tc>
        <w:tc>
          <w:tcPr>
            <w:tcW w:w="2980" w:type="pct"/>
            <w:shd w:val="clear" w:color="auto" w:fill="auto"/>
            <w:vAlign w:val="center"/>
          </w:tcPr>
          <w:p w14:paraId="208B8F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推送个性化的健康管理方案更新提醒，包括方案调整、目标达成提示等，确保居民及时了解管理方案的变化，保障健康管理的连续性和有效性。</w:t>
            </w:r>
          </w:p>
        </w:tc>
      </w:tr>
      <w:tr w14:paraId="57DB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49128FD">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18A2AF5">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331394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复诊提醒</w:t>
            </w:r>
          </w:p>
        </w:tc>
        <w:tc>
          <w:tcPr>
            <w:tcW w:w="2980" w:type="pct"/>
            <w:shd w:val="clear" w:color="auto" w:fill="auto"/>
            <w:vAlign w:val="center"/>
          </w:tcPr>
          <w:p w14:paraId="62629C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根据居民的随访计划和医生安排的复诊时间，提前通过消息推送提醒居民复诊日期、时间，提高居民复诊依从性，保障治疗的连续性。</w:t>
            </w:r>
          </w:p>
        </w:tc>
      </w:tr>
      <w:tr w14:paraId="2E77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6A6F9182">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F9A42FA">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164DBF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用药提醒</w:t>
            </w:r>
          </w:p>
        </w:tc>
        <w:tc>
          <w:tcPr>
            <w:tcW w:w="2980" w:type="pct"/>
            <w:shd w:val="clear" w:color="auto" w:fill="auto"/>
            <w:vAlign w:val="center"/>
          </w:tcPr>
          <w:p w14:paraId="47BDCD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根据居民的用药方案，定时推送用药提醒消息，包括药品名称、剂量、服用时间等信息，帮助居民按时服药，避免漏服、错服，提高用药依从性和治疗效果。</w:t>
            </w:r>
          </w:p>
        </w:tc>
      </w:tr>
      <w:tr w14:paraId="7653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90772AB">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337BBAE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5B66F6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健康宣教推送</w:t>
            </w:r>
          </w:p>
        </w:tc>
        <w:tc>
          <w:tcPr>
            <w:tcW w:w="2980" w:type="pct"/>
            <w:shd w:val="clear" w:color="auto" w:fill="auto"/>
            <w:vAlign w:val="center"/>
          </w:tcPr>
          <w:p w14:paraId="28DD32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根据居民的疾病类型、健康需求，推送个性化的健康教育内容，实现千人千面的健康宣教服务，提高健康教育的针对性和接受度。</w:t>
            </w:r>
          </w:p>
        </w:tc>
      </w:tr>
      <w:tr w14:paraId="2E46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6961DB6">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11348FB">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4CB259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调查问卷消息</w:t>
            </w:r>
          </w:p>
        </w:tc>
        <w:tc>
          <w:tcPr>
            <w:tcW w:w="2980" w:type="pct"/>
            <w:shd w:val="clear" w:color="auto" w:fill="auto"/>
            <w:vAlign w:val="center"/>
          </w:tcPr>
          <w:p w14:paraId="6BE929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推送需要居民填写的各类调查问卷，如满意度调查、健康需求调查、治疗效果评估等，提醒居民及时参与，便于收集反馈信息，持续改进服务质量。</w:t>
            </w:r>
          </w:p>
        </w:tc>
      </w:tr>
      <w:tr w14:paraId="24DD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1804187">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6E71FFCF">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261DF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异常值</w:t>
            </w:r>
          </w:p>
        </w:tc>
        <w:tc>
          <w:tcPr>
            <w:tcW w:w="2980" w:type="pct"/>
            <w:shd w:val="clear" w:color="auto" w:fill="auto"/>
            <w:vAlign w:val="center"/>
          </w:tcPr>
          <w:p w14:paraId="1EC357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当居民通过智能设备上传的血压、血糖等健康指标出现异常时，及时推送预警消息，提醒居民关注健康状况，并建议及时就医或联系医生，实现健康风险的早期发现和干预。</w:t>
            </w:r>
          </w:p>
        </w:tc>
      </w:tr>
      <w:tr w14:paraId="45E9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2EB9485">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4782CF4">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28431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系统消息</w:t>
            </w:r>
          </w:p>
        </w:tc>
        <w:tc>
          <w:tcPr>
            <w:tcW w:w="2980" w:type="pct"/>
            <w:shd w:val="clear" w:color="auto" w:fill="auto"/>
            <w:vAlign w:val="center"/>
          </w:tcPr>
          <w:p w14:paraId="5FE10A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推送平台公告、功能更新、服务通知等系统级消息，确保居民及时了解平台动态和重要信息，保障服务的透明度和用户体验。</w:t>
            </w:r>
          </w:p>
        </w:tc>
      </w:tr>
      <w:tr w14:paraId="56D0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55358A6A">
            <w:pPr>
              <w:jc w:val="center"/>
              <w:rPr>
                <w:rFonts w:hint="eastAsia" w:ascii="宋体" w:hAnsi="宋体" w:eastAsia="宋体" w:cs="宋体"/>
                <w:i w:val="0"/>
                <w:iCs w:val="0"/>
                <w:color w:val="000000"/>
                <w:sz w:val="21"/>
                <w:szCs w:val="21"/>
                <w:u w:val="none"/>
              </w:rPr>
            </w:pPr>
          </w:p>
        </w:tc>
        <w:tc>
          <w:tcPr>
            <w:tcW w:w="538" w:type="pct"/>
            <w:vMerge w:val="restart"/>
            <w:shd w:val="clear" w:color="auto" w:fill="auto"/>
            <w:vAlign w:val="center"/>
          </w:tcPr>
          <w:p w14:paraId="37CD8F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w:t>
            </w:r>
          </w:p>
        </w:tc>
        <w:tc>
          <w:tcPr>
            <w:tcW w:w="840" w:type="pct"/>
            <w:shd w:val="clear" w:color="auto" w:fill="auto"/>
            <w:vAlign w:val="center"/>
          </w:tcPr>
          <w:p w14:paraId="6CF192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家庭成员管理</w:t>
            </w:r>
          </w:p>
        </w:tc>
        <w:tc>
          <w:tcPr>
            <w:tcW w:w="2980" w:type="pct"/>
            <w:shd w:val="clear" w:color="auto" w:fill="auto"/>
            <w:vAlign w:val="center"/>
          </w:tcPr>
          <w:p w14:paraId="7ACB7F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居民添加、管理家庭成员的健康档案，可查看家庭成员的健康数据、随访记录、管理方案等信息。方便居民协助老人、儿童等家庭成员进行健康管理，实现家庭健康的一站式管理，提高家庭健康管理的便捷性。</w:t>
            </w:r>
          </w:p>
        </w:tc>
      </w:tr>
      <w:tr w14:paraId="39C4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47D7C93">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7E141C5E">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7296A0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智能设备</w:t>
            </w:r>
          </w:p>
        </w:tc>
        <w:tc>
          <w:tcPr>
            <w:tcW w:w="2980" w:type="pct"/>
            <w:shd w:val="clear" w:color="auto" w:fill="auto"/>
            <w:vAlign w:val="center"/>
          </w:tcPr>
          <w:p w14:paraId="58C92E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居民绑定个人智能健康监测设备，如血压计、血糖仪、智能手环等可穿戴设备。实现设备数据的采集和同步上传，方便居民实时查看健康数据趋势，也为医生远程监测提供数据支持，提高健康管理的智能化水平。</w:t>
            </w:r>
          </w:p>
        </w:tc>
      </w:tr>
      <w:tr w14:paraId="28FA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4E3CB8B4">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51A2F136">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00FE36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我的收藏</w:t>
            </w:r>
          </w:p>
        </w:tc>
        <w:tc>
          <w:tcPr>
            <w:tcW w:w="2980" w:type="pct"/>
            <w:shd w:val="clear" w:color="auto" w:fill="auto"/>
            <w:vAlign w:val="center"/>
          </w:tcPr>
          <w:p w14:paraId="7C71A7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居民可收藏感兴趣的健康宣教文章、视频等内容，方便后续反复查阅学习。快速检索，满足居民个性化学习需求，提升健康知识获取的便利性。</w:t>
            </w:r>
          </w:p>
        </w:tc>
      </w:tr>
      <w:tr w14:paraId="5582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0" w:hRule="atLeast"/>
          <w:jc w:val="center"/>
        </w:trPr>
        <w:tc>
          <w:tcPr>
            <w:tcW w:w="640" w:type="pct"/>
            <w:vMerge w:val="continue"/>
            <w:shd w:val="clear" w:color="auto" w:fill="auto"/>
            <w:vAlign w:val="center"/>
          </w:tcPr>
          <w:p w14:paraId="268F2248">
            <w:pPr>
              <w:jc w:val="center"/>
              <w:rPr>
                <w:rFonts w:hint="eastAsia" w:ascii="宋体" w:hAnsi="宋体" w:eastAsia="宋体" w:cs="宋体"/>
                <w:i w:val="0"/>
                <w:iCs w:val="0"/>
                <w:color w:val="000000"/>
                <w:sz w:val="21"/>
                <w:szCs w:val="21"/>
                <w:u w:val="none"/>
              </w:rPr>
            </w:pPr>
          </w:p>
        </w:tc>
        <w:tc>
          <w:tcPr>
            <w:tcW w:w="538" w:type="pct"/>
            <w:vMerge w:val="continue"/>
            <w:shd w:val="clear" w:color="auto" w:fill="auto"/>
            <w:vAlign w:val="center"/>
          </w:tcPr>
          <w:p w14:paraId="2F821FE7">
            <w:pPr>
              <w:jc w:val="center"/>
              <w:rPr>
                <w:rFonts w:hint="eastAsia" w:ascii="宋体" w:hAnsi="宋体" w:eastAsia="宋体" w:cs="宋体"/>
                <w:i w:val="0"/>
                <w:iCs w:val="0"/>
                <w:color w:val="000000"/>
                <w:sz w:val="21"/>
                <w:szCs w:val="21"/>
                <w:u w:val="none"/>
              </w:rPr>
            </w:pPr>
          </w:p>
        </w:tc>
        <w:tc>
          <w:tcPr>
            <w:tcW w:w="840" w:type="pct"/>
            <w:shd w:val="clear" w:color="auto" w:fill="auto"/>
            <w:vAlign w:val="center"/>
          </w:tcPr>
          <w:p w14:paraId="22EB8B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我的账号</w:t>
            </w:r>
          </w:p>
        </w:tc>
        <w:tc>
          <w:tcPr>
            <w:tcW w:w="2980" w:type="pct"/>
            <w:shd w:val="clear" w:color="auto" w:fill="auto"/>
            <w:vAlign w:val="center"/>
          </w:tcPr>
          <w:p w14:paraId="604F24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提供个人账户信息管理功能，包括基本信息维护、密码修改、手机号绑定、隐私设置等。支持查看个人健康档案概要、签约服务包信息、就诊记录等，保障居民对个人健康数据的掌控权和账户安全性。</w:t>
            </w:r>
          </w:p>
        </w:tc>
      </w:tr>
      <w:tr w14:paraId="4EB1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2019" w:type="pct"/>
            <w:gridSpan w:val="3"/>
            <w:shd w:val="clear" w:color="auto" w:fill="auto"/>
            <w:vAlign w:val="center"/>
          </w:tcPr>
          <w:p w14:paraId="6966FE2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sz w:val="21"/>
                <w:szCs w:val="21"/>
                <w:u w:val="none"/>
                <w:lang w:val="en-US" w:eastAsia="zh-CN"/>
              </w:rPr>
              <w:t>第三方接口</w:t>
            </w:r>
          </w:p>
        </w:tc>
        <w:tc>
          <w:tcPr>
            <w:tcW w:w="2980" w:type="pct"/>
            <w:shd w:val="clear" w:color="auto" w:fill="auto"/>
            <w:vAlign w:val="center"/>
          </w:tcPr>
          <w:p w14:paraId="1D4C9153">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院内HIS、汇川区中医院HIS系统接口</w:t>
            </w:r>
          </w:p>
        </w:tc>
      </w:tr>
    </w:tbl>
    <w:p w14:paraId="16089C1A">
      <w:pPr>
        <w:tabs>
          <w:tab w:val="left" w:pos="5133"/>
        </w:tabs>
        <w:bidi w:val="0"/>
        <w:jc w:val="left"/>
        <w:rPr>
          <w:rFonts w:hint="default"/>
          <w:lang w:val="en-US" w:eastAsia="zh-CN"/>
        </w:rPr>
      </w:pPr>
    </w:p>
    <w:p w14:paraId="357A477B">
      <w:pPr>
        <w:tabs>
          <w:tab w:val="left" w:pos="5133"/>
        </w:tabs>
        <w:bidi w:val="0"/>
        <w:jc w:val="left"/>
        <w:rPr>
          <w:rFonts w:hint="default"/>
          <w:lang w:val="en-US" w:eastAsia="zh-CN"/>
        </w:rPr>
      </w:pPr>
    </w:p>
    <w:p w14:paraId="267DADE7">
      <w:pPr>
        <w:tabs>
          <w:tab w:val="left" w:pos="5133"/>
        </w:tabs>
        <w:bidi w:val="0"/>
        <w:jc w:val="left"/>
        <w:rPr>
          <w:rFonts w:hint="default"/>
          <w:lang w:val="en-US" w:eastAsia="zh-CN"/>
        </w:rPr>
      </w:pPr>
    </w:p>
    <w:p w14:paraId="2EAD6B49">
      <w:pPr>
        <w:tabs>
          <w:tab w:val="left" w:pos="5133"/>
        </w:tabs>
        <w:bidi w:val="0"/>
        <w:jc w:val="left"/>
        <w:rPr>
          <w:rFonts w:hint="default"/>
          <w:lang w:val="en-US" w:eastAsia="zh-CN"/>
        </w:rPr>
      </w:pPr>
    </w:p>
    <w:p w14:paraId="1882DE26">
      <w:pPr>
        <w:tabs>
          <w:tab w:val="left" w:pos="5133"/>
        </w:tabs>
        <w:bidi w:val="0"/>
        <w:jc w:val="left"/>
        <w:rPr>
          <w:rFonts w:hint="default"/>
          <w:lang w:val="en-US" w:eastAsia="zh-CN"/>
        </w:rPr>
      </w:pPr>
    </w:p>
    <w:p w14:paraId="2969A195">
      <w:pPr>
        <w:tabs>
          <w:tab w:val="left" w:pos="5133"/>
        </w:tabs>
        <w:bidi w:val="0"/>
        <w:jc w:val="left"/>
        <w:rPr>
          <w:rFonts w:hint="default"/>
          <w:lang w:val="en-US" w:eastAsia="zh-CN"/>
        </w:rPr>
      </w:pPr>
    </w:p>
    <w:p w14:paraId="5C478B4A">
      <w:pPr>
        <w:tabs>
          <w:tab w:val="left" w:pos="5133"/>
        </w:tabs>
        <w:bidi w:val="0"/>
        <w:jc w:val="left"/>
        <w:rPr>
          <w:rFonts w:hint="default"/>
          <w:lang w:val="en-US" w:eastAsia="zh-CN"/>
        </w:rPr>
      </w:pPr>
    </w:p>
    <w:p w14:paraId="5C7071C0">
      <w:pPr>
        <w:tabs>
          <w:tab w:val="left" w:pos="5133"/>
        </w:tabs>
        <w:bidi w:val="0"/>
        <w:jc w:val="left"/>
        <w:rPr>
          <w:rFonts w:hint="default"/>
          <w:lang w:val="en-US" w:eastAsia="zh-CN"/>
        </w:rPr>
      </w:pPr>
    </w:p>
    <w:p w14:paraId="627E92BA">
      <w:pPr>
        <w:tabs>
          <w:tab w:val="left" w:pos="5133"/>
        </w:tabs>
        <w:bidi w:val="0"/>
        <w:jc w:val="left"/>
        <w:rPr>
          <w:rFonts w:hint="default"/>
          <w:lang w:val="en-US" w:eastAsia="zh-CN"/>
        </w:rPr>
      </w:pPr>
    </w:p>
    <w:p w14:paraId="3BDB48F3">
      <w:pPr>
        <w:tabs>
          <w:tab w:val="left" w:pos="5133"/>
        </w:tabs>
        <w:bidi w:val="0"/>
        <w:jc w:val="left"/>
        <w:rPr>
          <w:rFonts w:hint="default"/>
          <w:lang w:val="en-US" w:eastAsia="zh-CN"/>
        </w:rPr>
      </w:pPr>
    </w:p>
    <w:p w14:paraId="73C59A10">
      <w:pPr>
        <w:tabs>
          <w:tab w:val="left" w:pos="5133"/>
        </w:tabs>
        <w:bidi w:val="0"/>
        <w:jc w:val="left"/>
        <w:rPr>
          <w:rFonts w:hint="default"/>
          <w:lang w:val="en-US" w:eastAsia="zh-CN"/>
        </w:rPr>
      </w:pPr>
    </w:p>
    <w:p w14:paraId="0169079F">
      <w:pPr>
        <w:tabs>
          <w:tab w:val="left" w:pos="5133"/>
        </w:tabs>
        <w:bidi w:val="0"/>
        <w:jc w:val="left"/>
        <w:rPr>
          <w:rFonts w:hint="default"/>
          <w:lang w:val="en-US" w:eastAsia="zh-CN"/>
        </w:rPr>
      </w:pPr>
    </w:p>
    <w:p w14:paraId="2ED3ED94">
      <w:pPr>
        <w:tabs>
          <w:tab w:val="left" w:pos="5133"/>
        </w:tabs>
        <w:bidi w:val="0"/>
        <w:jc w:val="left"/>
        <w:rPr>
          <w:rFonts w:hint="default"/>
          <w:lang w:val="en-US" w:eastAsia="zh-CN"/>
        </w:rPr>
      </w:pPr>
    </w:p>
    <w:p w14:paraId="2FE767A7">
      <w:pPr>
        <w:tabs>
          <w:tab w:val="left" w:pos="5133"/>
        </w:tabs>
        <w:bidi w:val="0"/>
        <w:jc w:val="left"/>
        <w:rPr>
          <w:rFonts w:hint="default"/>
          <w:lang w:val="en-US" w:eastAsia="zh-CN"/>
        </w:rPr>
      </w:pPr>
    </w:p>
    <w:p w14:paraId="61113211">
      <w:pPr>
        <w:tabs>
          <w:tab w:val="left" w:pos="5133"/>
        </w:tabs>
        <w:bidi w:val="0"/>
        <w:jc w:val="left"/>
        <w:rPr>
          <w:rFonts w:hint="default"/>
          <w:lang w:val="en-US" w:eastAsia="zh-CN"/>
        </w:rPr>
      </w:pPr>
    </w:p>
    <w:p w14:paraId="07D87D3E">
      <w:pPr>
        <w:tabs>
          <w:tab w:val="left" w:pos="5133"/>
        </w:tabs>
        <w:bidi w:val="0"/>
        <w:jc w:val="left"/>
        <w:rPr>
          <w:rFonts w:hint="default"/>
          <w:lang w:val="en-US" w:eastAsia="zh-CN"/>
        </w:rPr>
      </w:pPr>
    </w:p>
    <w:p w14:paraId="1F148FF0">
      <w:pPr>
        <w:tabs>
          <w:tab w:val="left" w:pos="5133"/>
        </w:tabs>
        <w:bidi w:val="0"/>
        <w:jc w:val="left"/>
        <w:rPr>
          <w:rFonts w:hint="default"/>
          <w:lang w:val="en-US" w:eastAsia="zh-CN"/>
        </w:rPr>
      </w:pPr>
    </w:p>
    <w:p w14:paraId="762B0FD2">
      <w:pPr>
        <w:tabs>
          <w:tab w:val="left" w:pos="5133"/>
        </w:tabs>
        <w:bidi w:val="0"/>
        <w:jc w:val="left"/>
        <w:rPr>
          <w:rFonts w:hint="default"/>
          <w:lang w:val="en-US" w:eastAsia="zh-CN"/>
        </w:rPr>
      </w:pPr>
    </w:p>
    <w:p w14:paraId="158CA08C">
      <w:pPr>
        <w:tabs>
          <w:tab w:val="left" w:pos="5133"/>
        </w:tabs>
        <w:bidi w:val="0"/>
        <w:jc w:val="left"/>
        <w:rPr>
          <w:rFonts w:hint="default"/>
          <w:lang w:val="en-US" w:eastAsia="zh-CN"/>
        </w:rPr>
      </w:pPr>
    </w:p>
    <w:p w14:paraId="09E630A1">
      <w:pPr>
        <w:tabs>
          <w:tab w:val="left" w:pos="5133"/>
        </w:tabs>
        <w:bidi w:val="0"/>
        <w:jc w:val="left"/>
        <w:rPr>
          <w:rFonts w:hint="default"/>
          <w:lang w:val="en-US" w:eastAsia="zh-CN"/>
        </w:rPr>
      </w:pPr>
    </w:p>
    <w:p w14:paraId="25D4CA46">
      <w:pPr>
        <w:tabs>
          <w:tab w:val="left" w:pos="5133"/>
        </w:tabs>
        <w:bidi w:val="0"/>
        <w:jc w:val="left"/>
        <w:rPr>
          <w:rFonts w:hint="default"/>
          <w:lang w:val="en-US" w:eastAsia="zh-CN"/>
        </w:rPr>
      </w:pPr>
    </w:p>
    <w:p w14:paraId="7983C26E">
      <w:pPr>
        <w:tabs>
          <w:tab w:val="left" w:pos="5133"/>
        </w:tabs>
        <w:bidi w:val="0"/>
        <w:jc w:val="left"/>
        <w:rPr>
          <w:rFonts w:hint="default"/>
          <w:lang w:val="en-US" w:eastAsia="zh-CN"/>
        </w:rPr>
      </w:pPr>
    </w:p>
    <w:p w14:paraId="6B3B1903">
      <w:pPr>
        <w:tabs>
          <w:tab w:val="left" w:pos="5133"/>
        </w:tabs>
        <w:bidi w:val="0"/>
        <w:jc w:val="left"/>
        <w:rPr>
          <w:rFonts w:hint="default"/>
          <w:lang w:val="en-US" w:eastAsia="zh-CN"/>
        </w:rPr>
      </w:pPr>
    </w:p>
    <w:p w14:paraId="76F7FF1D">
      <w:pPr>
        <w:tabs>
          <w:tab w:val="left" w:pos="5133"/>
        </w:tabs>
        <w:bidi w:val="0"/>
        <w:jc w:val="left"/>
        <w:rPr>
          <w:rFonts w:hint="default"/>
          <w:lang w:val="en-US" w:eastAsia="zh-CN"/>
        </w:rPr>
      </w:pPr>
    </w:p>
    <w:p w14:paraId="62FE60FD">
      <w:pPr>
        <w:tabs>
          <w:tab w:val="left" w:pos="5133"/>
        </w:tabs>
        <w:bidi w:val="0"/>
        <w:jc w:val="left"/>
        <w:rPr>
          <w:rFonts w:hint="default"/>
          <w:lang w:val="en-US" w:eastAsia="zh-CN"/>
        </w:rPr>
      </w:pPr>
    </w:p>
    <w:p w14:paraId="39EA5F40">
      <w:pPr>
        <w:tabs>
          <w:tab w:val="left" w:pos="5133"/>
        </w:tabs>
        <w:bidi w:val="0"/>
        <w:jc w:val="left"/>
        <w:rPr>
          <w:rFonts w:hint="default"/>
          <w:lang w:val="en-US" w:eastAsia="zh-CN"/>
        </w:rPr>
      </w:pPr>
    </w:p>
    <w:p w14:paraId="7E38F0BA">
      <w:pPr>
        <w:tabs>
          <w:tab w:val="left" w:pos="5133"/>
        </w:tabs>
        <w:bidi w:val="0"/>
        <w:jc w:val="left"/>
        <w:rPr>
          <w:rFonts w:hint="default"/>
          <w:lang w:val="en-US" w:eastAsia="zh-CN"/>
        </w:rPr>
      </w:pPr>
    </w:p>
    <w:p w14:paraId="4AAFDC63">
      <w:pPr>
        <w:tabs>
          <w:tab w:val="left" w:pos="5133"/>
        </w:tabs>
        <w:bidi w:val="0"/>
        <w:jc w:val="left"/>
        <w:rPr>
          <w:rFonts w:hint="default"/>
          <w:lang w:val="en-US" w:eastAsia="zh-CN"/>
        </w:rPr>
      </w:pPr>
    </w:p>
    <w:p w14:paraId="56927F94">
      <w:pPr>
        <w:tabs>
          <w:tab w:val="left" w:pos="5133"/>
        </w:tabs>
        <w:bidi w:val="0"/>
        <w:jc w:val="left"/>
        <w:rPr>
          <w:rFonts w:hint="default"/>
          <w:lang w:val="en-US" w:eastAsia="zh-CN"/>
        </w:rPr>
      </w:pPr>
    </w:p>
    <w:p w14:paraId="422D94FF">
      <w:pPr>
        <w:pStyle w:val="8"/>
        <w:spacing w:before="0" w:beforeAutospacing="0" w:after="0" w:afterAutospacing="0" w:line="440" w:lineRule="exact"/>
        <w:jc w:val="left"/>
        <w:rPr>
          <w:rFonts w:hint="default" w:ascii="仿宋" w:hAnsi="仿宋" w:eastAsia="仿宋" w:cs="宋体"/>
          <w:bCs/>
          <w:sz w:val="28"/>
          <w:szCs w:val="28"/>
          <w:lang w:val="en-US" w:eastAsia="zh-CN"/>
        </w:rPr>
      </w:pPr>
      <w:r>
        <w:rPr>
          <w:rFonts w:hint="eastAsia" w:ascii="仿宋" w:hAnsi="仿宋" w:eastAsia="仿宋" w:cs="宋体"/>
          <w:bCs/>
          <w:sz w:val="28"/>
          <w:szCs w:val="28"/>
          <w:lang w:val="en-US" w:eastAsia="zh-CN"/>
        </w:rPr>
        <w:t>附件4：技术参数偏离表（模板）</w:t>
      </w:r>
    </w:p>
    <w:p w14:paraId="19901C50">
      <w:pPr>
        <w:keepNext w:val="0"/>
        <w:keepLines w:val="0"/>
        <w:widowControl/>
        <w:suppressLineNumbers w:val="0"/>
        <w:spacing w:line="240" w:lineRule="auto"/>
        <w:jc w:val="center"/>
        <w:rPr>
          <w:rFonts w:hint="default" w:cs="宋体"/>
          <w:b/>
          <w:bCs/>
          <w:sz w:val="30"/>
          <w:szCs w:val="30"/>
          <w:lang w:val="en-US" w:eastAsia="zh-CN"/>
        </w:rPr>
      </w:pPr>
    </w:p>
    <w:p w14:paraId="44770305">
      <w:pPr>
        <w:keepNext w:val="0"/>
        <w:keepLines w:val="0"/>
        <w:widowControl/>
        <w:suppressLineNumbers w:val="0"/>
        <w:spacing w:line="240" w:lineRule="auto"/>
        <w:jc w:val="center"/>
        <w:rPr>
          <w:rFonts w:hint="default" w:cs="宋体"/>
          <w:b/>
          <w:bCs/>
          <w:sz w:val="30"/>
          <w:szCs w:val="30"/>
          <w:lang w:val="en-US" w:eastAsia="zh-CN"/>
        </w:rPr>
      </w:pPr>
      <w:r>
        <w:rPr>
          <w:rFonts w:hint="default" w:cs="宋体"/>
          <w:b/>
          <w:bCs/>
          <w:sz w:val="30"/>
          <w:szCs w:val="30"/>
          <w:lang w:val="en-US" w:eastAsia="zh-CN"/>
        </w:rPr>
        <w:t>技术参数响应及偏离表</w:t>
      </w:r>
    </w:p>
    <w:p w14:paraId="5074C8C5">
      <w:pPr>
        <w:keepNext w:val="0"/>
        <w:keepLines w:val="0"/>
        <w:widowControl/>
        <w:suppressLineNumbers w:val="0"/>
        <w:spacing w:line="240" w:lineRule="auto"/>
        <w:jc w:val="center"/>
        <w:rPr>
          <w:rFonts w:hint="default" w:cs="宋体"/>
          <w:b w:val="0"/>
          <w:bCs w:val="0"/>
          <w:sz w:val="28"/>
          <w:szCs w:val="28"/>
          <w:lang w:val="en-US" w:eastAsia="zh-CN"/>
        </w:rPr>
      </w:pPr>
      <w:r>
        <w:rPr>
          <w:rFonts w:hint="default" w:cs="宋体"/>
          <w:b w:val="0"/>
          <w:bCs w:val="0"/>
          <w:sz w:val="28"/>
          <w:szCs w:val="28"/>
          <w:lang w:val="en-US" w:eastAsia="zh-CN"/>
        </w:rPr>
        <w:t>(由投标人据实</w:t>
      </w:r>
      <w:r>
        <w:rPr>
          <w:rFonts w:hint="eastAsia" w:cs="宋体"/>
          <w:b w:val="0"/>
          <w:bCs w:val="0"/>
          <w:sz w:val="28"/>
          <w:szCs w:val="28"/>
          <w:lang w:val="en-US" w:eastAsia="zh-CN"/>
        </w:rPr>
        <w:t>填写</w:t>
      </w:r>
      <w:r>
        <w:rPr>
          <w:rFonts w:hint="default" w:cs="宋体"/>
          <w:b w:val="0"/>
          <w:bCs w:val="0"/>
          <w:sz w:val="28"/>
          <w:szCs w:val="28"/>
          <w:lang w:val="en-US" w:eastAsia="zh-CN"/>
        </w:rPr>
        <w:t>)</w:t>
      </w:r>
    </w:p>
    <w:tbl>
      <w:tblPr>
        <w:tblStyle w:val="11"/>
        <w:tblW w:w="11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3575"/>
        <w:gridCol w:w="2825"/>
        <w:gridCol w:w="2075"/>
        <w:gridCol w:w="1637"/>
      </w:tblGrid>
      <w:tr w14:paraId="5839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113" w:type="dxa"/>
            <w:vAlign w:val="center"/>
          </w:tcPr>
          <w:p w14:paraId="19E8C0A6">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序号</w:t>
            </w:r>
          </w:p>
        </w:tc>
        <w:tc>
          <w:tcPr>
            <w:tcW w:w="3575" w:type="dxa"/>
            <w:vAlign w:val="center"/>
          </w:tcPr>
          <w:p w14:paraId="2DCFEFEF">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招标产品要求参数</w:t>
            </w:r>
          </w:p>
        </w:tc>
        <w:tc>
          <w:tcPr>
            <w:tcW w:w="2825" w:type="dxa"/>
            <w:vAlign w:val="center"/>
          </w:tcPr>
          <w:p w14:paraId="034AA822">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投标产品实际参数</w:t>
            </w:r>
          </w:p>
        </w:tc>
        <w:tc>
          <w:tcPr>
            <w:tcW w:w="2075" w:type="dxa"/>
            <w:vAlign w:val="center"/>
          </w:tcPr>
          <w:p w14:paraId="53447DEC">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符合/正偏离/负偏离</w:t>
            </w:r>
          </w:p>
        </w:tc>
        <w:tc>
          <w:tcPr>
            <w:tcW w:w="1637" w:type="dxa"/>
            <w:vAlign w:val="center"/>
          </w:tcPr>
          <w:p w14:paraId="34158E94">
            <w:pPr>
              <w:keepNext w:val="0"/>
              <w:keepLines w:val="0"/>
              <w:widowControl/>
              <w:suppressLineNumbers w:val="0"/>
              <w:spacing w:line="240" w:lineRule="auto"/>
              <w:jc w:val="center"/>
              <w:rPr>
                <w:rFonts w:hint="default" w:cs="宋体"/>
                <w:b w:val="0"/>
                <w:bCs w:val="0"/>
                <w:sz w:val="21"/>
                <w:szCs w:val="21"/>
                <w:vertAlign w:val="baseline"/>
                <w:lang w:val="en-US" w:eastAsia="zh-CN"/>
              </w:rPr>
            </w:pPr>
            <w:r>
              <w:rPr>
                <w:rFonts w:hint="default" w:cs="宋体"/>
                <w:b w:val="0"/>
                <w:bCs w:val="0"/>
                <w:sz w:val="21"/>
                <w:szCs w:val="21"/>
                <w:lang w:val="en-US" w:eastAsia="zh-CN"/>
              </w:rPr>
              <w:t>备注</w:t>
            </w:r>
          </w:p>
        </w:tc>
      </w:tr>
      <w:tr w14:paraId="7C158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475169C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2A9CE7E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81C266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445D1871">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6840B29C">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7190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39F762F0">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6AEF4F5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BD627F4">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6303A5A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5C943C4A">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2405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1B48C215">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075CEB9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76646678">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041248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1DEA4371">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60E6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2348AB3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3341502D">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825" w:type="dxa"/>
          </w:tcPr>
          <w:p w14:paraId="254C1C9E">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2075" w:type="dxa"/>
          </w:tcPr>
          <w:p w14:paraId="3273617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3DD069F4">
            <w:pPr>
              <w:keepNext w:val="0"/>
              <w:keepLines w:val="0"/>
              <w:widowControl/>
              <w:suppressLineNumbers w:val="0"/>
              <w:spacing w:line="240" w:lineRule="auto"/>
              <w:jc w:val="left"/>
              <w:rPr>
                <w:rFonts w:hint="default" w:cs="宋体"/>
                <w:b/>
                <w:bCs/>
                <w:sz w:val="30"/>
                <w:szCs w:val="30"/>
                <w:vertAlign w:val="baseline"/>
                <w:lang w:val="en-US" w:eastAsia="zh-CN"/>
              </w:rPr>
            </w:pPr>
          </w:p>
        </w:tc>
      </w:tr>
      <w:tr w14:paraId="1515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tcPr>
          <w:p w14:paraId="70162AA3">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3575" w:type="dxa"/>
          </w:tcPr>
          <w:p w14:paraId="4C442F5B">
            <w:pPr>
              <w:keepNext w:val="0"/>
              <w:keepLines w:val="0"/>
              <w:widowControl/>
              <w:suppressLineNumbers w:val="0"/>
              <w:spacing w:line="240" w:lineRule="auto"/>
              <w:jc w:val="center"/>
              <w:rPr>
                <w:rFonts w:hint="default" w:cs="宋体"/>
                <w:b/>
                <w:bCs/>
                <w:sz w:val="21"/>
                <w:szCs w:val="21"/>
                <w:lang w:val="en-US" w:eastAsia="zh-CN"/>
              </w:rPr>
            </w:pPr>
            <w:r>
              <w:rPr>
                <w:rFonts w:hint="eastAsia" w:cs="宋体"/>
                <w:b/>
                <w:bCs/>
                <w:sz w:val="21"/>
                <w:szCs w:val="21"/>
                <w:lang w:val="en-US" w:eastAsia="zh-CN"/>
              </w:rPr>
              <w:t>（根据需要自行增加行、列）</w:t>
            </w:r>
          </w:p>
        </w:tc>
        <w:tc>
          <w:tcPr>
            <w:tcW w:w="2825" w:type="dxa"/>
          </w:tcPr>
          <w:p w14:paraId="148F7E08">
            <w:pPr>
              <w:keepNext w:val="0"/>
              <w:keepLines w:val="0"/>
              <w:widowControl/>
              <w:suppressLineNumbers w:val="0"/>
              <w:spacing w:line="240" w:lineRule="auto"/>
              <w:jc w:val="center"/>
              <w:rPr>
                <w:rFonts w:hint="default" w:cs="宋体"/>
                <w:b/>
                <w:bCs/>
                <w:sz w:val="21"/>
                <w:szCs w:val="21"/>
                <w:lang w:val="en-US" w:eastAsia="zh-CN"/>
              </w:rPr>
            </w:pPr>
          </w:p>
        </w:tc>
        <w:tc>
          <w:tcPr>
            <w:tcW w:w="2075" w:type="dxa"/>
          </w:tcPr>
          <w:p w14:paraId="3F38BE0C">
            <w:pPr>
              <w:keepNext w:val="0"/>
              <w:keepLines w:val="0"/>
              <w:widowControl/>
              <w:suppressLineNumbers w:val="0"/>
              <w:spacing w:line="240" w:lineRule="auto"/>
              <w:jc w:val="left"/>
              <w:rPr>
                <w:rFonts w:hint="default" w:cs="宋体"/>
                <w:b/>
                <w:bCs/>
                <w:sz w:val="30"/>
                <w:szCs w:val="30"/>
                <w:vertAlign w:val="baseline"/>
                <w:lang w:val="en-US" w:eastAsia="zh-CN"/>
              </w:rPr>
            </w:pPr>
          </w:p>
        </w:tc>
        <w:tc>
          <w:tcPr>
            <w:tcW w:w="1637" w:type="dxa"/>
          </w:tcPr>
          <w:p w14:paraId="475AFBF6">
            <w:pPr>
              <w:keepNext w:val="0"/>
              <w:keepLines w:val="0"/>
              <w:widowControl/>
              <w:suppressLineNumbers w:val="0"/>
              <w:spacing w:line="240" w:lineRule="auto"/>
              <w:jc w:val="left"/>
              <w:rPr>
                <w:rFonts w:hint="default" w:cs="宋体"/>
                <w:b/>
                <w:bCs/>
                <w:sz w:val="30"/>
                <w:szCs w:val="30"/>
                <w:vertAlign w:val="baseline"/>
                <w:lang w:val="en-US" w:eastAsia="zh-CN"/>
              </w:rPr>
            </w:pPr>
          </w:p>
        </w:tc>
      </w:tr>
    </w:tbl>
    <w:p w14:paraId="6A009724">
      <w:pPr>
        <w:keepNext w:val="0"/>
        <w:keepLines w:val="0"/>
        <w:widowControl/>
        <w:suppressLineNumbers w:val="0"/>
        <w:spacing w:line="240" w:lineRule="auto"/>
        <w:jc w:val="left"/>
        <w:rPr>
          <w:rFonts w:hint="default" w:ascii="宋体" w:hAnsi="宋体" w:eastAsia="宋体" w:cs="宋体"/>
          <w:color w:val="000000"/>
          <w:kern w:val="0"/>
          <w:sz w:val="24"/>
          <w:szCs w:val="24"/>
          <w:lang w:val="en-US" w:eastAsia="zh-CN" w:bidi="ar"/>
        </w:rPr>
      </w:pPr>
    </w:p>
    <w:p w14:paraId="31605908">
      <w:pPr>
        <w:tabs>
          <w:tab w:val="left" w:pos="5133"/>
        </w:tabs>
        <w:bidi w:val="0"/>
        <w:jc w:val="left"/>
        <w:rPr>
          <w:rFonts w:hint="default" w:ascii="仿宋" w:hAnsi="仿宋" w:eastAsia="仿宋"/>
          <w:bCs/>
          <w:sz w:val="28"/>
          <w:szCs w:val="28"/>
          <w:lang w:val="en-US" w:eastAsia="zh-CN"/>
        </w:rPr>
      </w:pP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仿宋_GB2312"/>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33ECE"/>
    <w:rsid w:val="00F46D15"/>
    <w:rsid w:val="020E3E06"/>
    <w:rsid w:val="02F76F90"/>
    <w:rsid w:val="04567CE7"/>
    <w:rsid w:val="053E2C54"/>
    <w:rsid w:val="058B49DF"/>
    <w:rsid w:val="06502E2E"/>
    <w:rsid w:val="07302A71"/>
    <w:rsid w:val="081A3113"/>
    <w:rsid w:val="0A474359"/>
    <w:rsid w:val="0A4C42D3"/>
    <w:rsid w:val="0B9F3DF4"/>
    <w:rsid w:val="0C751D17"/>
    <w:rsid w:val="0D571796"/>
    <w:rsid w:val="0ECD6DF7"/>
    <w:rsid w:val="0FA933C0"/>
    <w:rsid w:val="0FF22FB9"/>
    <w:rsid w:val="102B0279"/>
    <w:rsid w:val="1246139A"/>
    <w:rsid w:val="13D824C6"/>
    <w:rsid w:val="1444190A"/>
    <w:rsid w:val="14B46A8F"/>
    <w:rsid w:val="1609105D"/>
    <w:rsid w:val="163F05DA"/>
    <w:rsid w:val="16E01B81"/>
    <w:rsid w:val="17716EB9"/>
    <w:rsid w:val="179922EA"/>
    <w:rsid w:val="1BDD3A15"/>
    <w:rsid w:val="1D5F7F07"/>
    <w:rsid w:val="1DF1305D"/>
    <w:rsid w:val="20A933D4"/>
    <w:rsid w:val="22E91FFA"/>
    <w:rsid w:val="23664E49"/>
    <w:rsid w:val="23783F08"/>
    <w:rsid w:val="24B623B0"/>
    <w:rsid w:val="24C525F3"/>
    <w:rsid w:val="25382DC5"/>
    <w:rsid w:val="27A71D1F"/>
    <w:rsid w:val="27BF3329"/>
    <w:rsid w:val="28626115"/>
    <w:rsid w:val="28FF03FE"/>
    <w:rsid w:val="29424212"/>
    <w:rsid w:val="2A5306A1"/>
    <w:rsid w:val="2A77438F"/>
    <w:rsid w:val="2BF6759A"/>
    <w:rsid w:val="2D23184C"/>
    <w:rsid w:val="2D3C366E"/>
    <w:rsid w:val="2D850E81"/>
    <w:rsid w:val="2E094915"/>
    <w:rsid w:val="2EDB6D2D"/>
    <w:rsid w:val="2F854E58"/>
    <w:rsid w:val="32B048E2"/>
    <w:rsid w:val="33DF3513"/>
    <w:rsid w:val="347322B4"/>
    <w:rsid w:val="35270760"/>
    <w:rsid w:val="36883480"/>
    <w:rsid w:val="38122627"/>
    <w:rsid w:val="384542BC"/>
    <w:rsid w:val="388258F2"/>
    <w:rsid w:val="392751D2"/>
    <w:rsid w:val="3971644D"/>
    <w:rsid w:val="3A015A23"/>
    <w:rsid w:val="3B761D0E"/>
    <w:rsid w:val="3EA3354D"/>
    <w:rsid w:val="3F7F7B16"/>
    <w:rsid w:val="42175028"/>
    <w:rsid w:val="431E7646"/>
    <w:rsid w:val="43FA3C0F"/>
    <w:rsid w:val="440E1469"/>
    <w:rsid w:val="442C0618"/>
    <w:rsid w:val="44692B43"/>
    <w:rsid w:val="45AC0F39"/>
    <w:rsid w:val="46A71700"/>
    <w:rsid w:val="47531003"/>
    <w:rsid w:val="4B334999"/>
    <w:rsid w:val="4FBC621D"/>
    <w:rsid w:val="501716A5"/>
    <w:rsid w:val="50FE3E8B"/>
    <w:rsid w:val="56E822F9"/>
    <w:rsid w:val="5C6B4550"/>
    <w:rsid w:val="5E1D5BB8"/>
    <w:rsid w:val="618B1EF3"/>
    <w:rsid w:val="61F335F4"/>
    <w:rsid w:val="627B3D15"/>
    <w:rsid w:val="651B358E"/>
    <w:rsid w:val="65E010F3"/>
    <w:rsid w:val="67957627"/>
    <w:rsid w:val="67EC1211"/>
    <w:rsid w:val="68703BF0"/>
    <w:rsid w:val="6D5D539B"/>
    <w:rsid w:val="6E641258"/>
    <w:rsid w:val="6FC253A0"/>
    <w:rsid w:val="6FE70C3C"/>
    <w:rsid w:val="72DD0F04"/>
    <w:rsid w:val="72F33ECE"/>
    <w:rsid w:val="72F773E8"/>
    <w:rsid w:val="73F92CEC"/>
    <w:rsid w:val="7422425C"/>
    <w:rsid w:val="769A4640"/>
    <w:rsid w:val="770F2826"/>
    <w:rsid w:val="77306B9A"/>
    <w:rsid w:val="79652DD0"/>
    <w:rsid w:val="7A6335B5"/>
    <w:rsid w:val="7A681AC4"/>
    <w:rsid w:val="7AD13515"/>
    <w:rsid w:val="7BBB190C"/>
    <w:rsid w:val="7C423286"/>
    <w:rsid w:val="7C477787"/>
    <w:rsid w:val="7CB1685A"/>
    <w:rsid w:val="7D5316BF"/>
    <w:rsid w:val="7D637428"/>
    <w:rsid w:val="7EC35C51"/>
    <w:rsid w:val="7F111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3"/>
    <w:basedOn w:val="1"/>
    <w:next w:val="1"/>
    <w:link w:val="14"/>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qFormat/>
    <w:uiPriority w:val="0"/>
    <w:pPr>
      <w:keepNext/>
      <w:keepLines/>
      <w:spacing w:line="360" w:lineRule="auto"/>
      <w:outlineLvl w:val="3"/>
    </w:pPr>
    <w:rPr>
      <w:rFonts w:ascii="Arial" w:hAnsi="Arial"/>
      <w:b/>
      <w:bCs/>
      <w:szCs w:val="28"/>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rPr>
      <w:rFonts w:ascii="Tahoma" w:hAnsi="Tahoma"/>
    </w:rPr>
  </w:style>
  <w:style w:type="paragraph" w:styleId="7">
    <w:name w:val="Body Text"/>
    <w:basedOn w:val="1"/>
    <w:next w:val="1"/>
    <w:semiHidden/>
    <w:qFormat/>
    <w:uiPriority w:val="0"/>
    <w:rPr>
      <w:rFonts w:ascii="Arial" w:hAnsi="Arial" w:eastAsia="Arial" w:cs="Arial"/>
      <w:sz w:val="21"/>
      <w:szCs w:val="21"/>
      <w:lang w:val="en-US" w:eastAsia="en-US" w:bidi="ar-SA"/>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basedOn w:val="1"/>
    <w:qFormat/>
    <w:uiPriority w:val="0"/>
    <w:pPr>
      <w:spacing w:before="240" w:after="60"/>
      <w:jc w:val="center"/>
      <w:outlineLvl w:val="0"/>
    </w:pPr>
    <w:rPr>
      <w:rFonts w:ascii="Arial" w:hAnsi="Arial" w:cs="Times New Roman"/>
      <w:b/>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3">
    <w:name w:val="正文1"/>
    <w:qFormat/>
    <w:uiPriority w:val="0"/>
    <w:pPr>
      <w:keepNext/>
      <w:keepLines/>
      <w:spacing w:beforeLines="50" w:afterLines="50" w:line="360" w:lineRule="exact"/>
      <w:ind w:firstLine="200" w:firstLineChars="200"/>
    </w:pPr>
    <w:rPr>
      <w:rFonts w:ascii="仿宋_GB2312" w:hAnsi="宋体" w:eastAsia="仿宋_GB2312" w:cs="Times New Roman"/>
      <w:color w:val="000000"/>
      <w:sz w:val="24"/>
      <w:szCs w:val="30"/>
      <w:lang w:val="en-GB" w:eastAsia="zh-CN" w:bidi="ar-SA"/>
    </w:rPr>
  </w:style>
  <w:style w:type="character" w:customStyle="1" w:styleId="14">
    <w:name w:val="标题 3 Char"/>
    <w:link w:val="3"/>
    <w:qFormat/>
    <w:uiPriority w:val="0"/>
    <w:rPr>
      <w:b/>
      <w:sz w:val="32"/>
    </w:rPr>
  </w:style>
  <w:style w:type="paragraph" w:styleId="15">
    <w:name w:val="List Paragraph"/>
    <w:basedOn w:val="1"/>
    <w:unhideWhenUsed/>
    <w:qFormat/>
    <w:uiPriority w:val="99"/>
    <w:pPr>
      <w:widowControl/>
      <w:spacing w:before="100" w:beforeAutospacing="1" w:after="100" w:afterAutospacing="1"/>
      <w:ind w:firstLine="420"/>
    </w:pPr>
    <w:rPr>
      <w:rFonts w:hint="default" w:ascii="Times New Roman" w:hAnsi="Times New Roman"/>
      <w:kern w:val="0"/>
    </w:rPr>
  </w:style>
  <w:style w:type="character" w:customStyle="1" w:styleId="16">
    <w:name w:val="font41"/>
    <w:basedOn w:val="12"/>
    <w:qFormat/>
    <w:uiPriority w:val="0"/>
    <w:rPr>
      <w:rFonts w:hint="eastAsia" w:ascii="仿宋" w:hAnsi="仿宋" w:eastAsia="仿宋" w:cs="仿宋"/>
      <w:color w:val="000000"/>
      <w:sz w:val="22"/>
      <w:szCs w:val="22"/>
      <w:u w:val="none"/>
    </w:rPr>
  </w:style>
  <w:style w:type="character" w:customStyle="1" w:styleId="17">
    <w:name w:val="font61"/>
    <w:basedOn w:val="12"/>
    <w:qFormat/>
    <w:uiPriority w:val="0"/>
    <w:rPr>
      <w:rFonts w:hint="default" w:ascii="Times New Roman" w:hAnsi="Times New Roman" w:cs="Times New Roman"/>
      <w:color w:val="000000"/>
      <w:sz w:val="22"/>
      <w:szCs w:val="22"/>
      <w:u w:val="none"/>
    </w:rPr>
  </w:style>
  <w:style w:type="character" w:customStyle="1" w:styleId="18">
    <w:name w:val="font51"/>
    <w:basedOn w:val="12"/>
    <w:qFormat/>
    <w:uiPriority w:val="0"/>
    <w:rPr>
      <w:rFonts w:hint="eastAsia" w:ascii="仿宋" w:hAnsi="仿宋" w:eastAsia="仿宋" w:cs="仿宋"/>
      <w:color w:val="000000"/>
      <w:sz w:val="16"/>
      <w:szCs w:val="16"/>
      <w:u w:val="none"/>
    </w:rPr>
  </w:style>
  <w:style w:type="character" w:customStyle="1" w:styleId="19">
    <w:name w:val="font31"/>
    <w:basedOn w:val="12"/>
    <w:qFormat/>
    <w:uiPriority w:val="0"/>
    <w:rPr>
      <w:rFonts w:hint="eastAsia" w:ascii="宋体" w:hAnsi="宋体" w:eastAsia="宋体" w:cs="宋体"/>
      <w:color w:val="000000"/>
      <w:sz w:val="16"/>
      <w:szCs w:val="16"/>
      <w:u w:val="none"/>
    </w:rPr>
  </w:style>
  <w:style w:type="character" w:customStyle="1" w:styleId="20">
    <w:name w:val="font81"/>
    <w:basedOn w:val="12"/>
    <w:qFormat/>
    <w:uiPriority w:val="0"/>
    <w:rPr>
      <w:rFonts w:hint="default" w:ascii="Arial" w:hAnsi="Arial" w:cs="Arial"/>
      <w:color w:val="000000"/>
      <w:sz w:val="16"/>
      <w:szCs w:val="16"/>
      <w:u w:val="none"/>
    </w:rPr>
  </w:style>
  <w:style w:type="character" w:customStyle="1" w:styleId="21">
    <w:name w:val="font91"/>
    <w:basedOn w:val="12"/>
    <w:qFormat/>
    <w:uiPriority w:val="0"/>
    <w:rPr>
      <w:rFonts w:hint="eastAsia" w:ascii="仿宋" w:hAnsi="仿宋" w:eastAsia="仿宋" w:cs="仿宋"/>
      <w:b/>
      <w:bCs/>
      <w:color w:val="000000"/>
      <w:sz w:val="16"/>
      <w:szCs w:val="16"/>
      <w:u w:val="none"/>
      <w:vertAlign w:val="superscript"/>
    </w:rPr>
  </w:style>
  <w:style w:type="character" w:customStyle="1" w:styleId="22">
    <w:name w:val="font11"/>
    <w:basedOn w:val="12"/>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3056</Words>
  <Characters>3122</Characters>
  <Lines>0</Lines>
  <Paragraphs>0</Paragraphs>
  <TotalTime>0</TotalTime>
  <ScaleCrop>false</ScaleCrop>
  <LinksUpToDate>false</LinksUpToDate>
  <CharactersWithSpaces>3181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2025-03-17T08:30:00Z</dcterms:created>
  <dc:creator>Ikki</dc:creator>
  <cp:lastModifiedBy>WPS_1569745718</cp:lastModifiedBy>
  <cp:lastPrinted>2026-02-25T01:59:00Z</cp:lastPrinted>
  <dcterms:modified xsi:type="dcterms:W3CDTF">2026-08-28T06:42:14Z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30051539B32C496BA38FEC8205504A22_13</vt:lpwstr>
  </property>
  <property fmtid="{D5CDD505-2E9C-101B-9397-08002B2CF9AE}" pid="4" name="KSOTemplateDocerSaveRecord">
    <vt:lpwstr>eyJoZGlkIjoiZTYyMDczZGRhZjNiZjg5MTJhMWY4ZmJkZjE0ODlhZjQiLCJ1c2VySWQiOiI2Nzc3MDY5ODMifQ==</vt:lpwstr>
  </property>
</Properties>
</file>