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5000" w:type="pct"/>
        <w:jc w:val="center"/>
        <w:tblLayout w:type="fixed"/>
        <w:tblCellMar>
          <w:top w:w="0" w:type="dxa"/>
          <w:left w:w="108" w:type="dxa"/>
          <w:bottom w:w="0" w:type="dxa"/>
          <w:right w:w="108" w:type="dxa"/>
        </w:tblCellMar>
      </w:tblPr>
      <w:tblGrid>
        <w:gridCol w:w="8522"/>
      </w:tblGrid>
      <w:tr w14:paraId="3024E62F">
        <w:tblPrEx>
          <w:tblCellMar>
            <w:top w:w="0" w:type="dxa"/>
            <w:left w:w="108" w:type="dxa"/>
            <w:bottom w:w="0" w:type="dxa"/>
            <w:right w:w="108" w:type="dxa"/>
          </w:tblCellMar>
        </w:tblPrEx>
        <w:trPr>
          <w:trHeight w:val="504" w:hRule="atLeast"/>
          <w:jc w:val="center"/>
        </w:trPr>
        <w:tc>
          <w:tcPr>
            <w:tcW w:w="5000" w:type="pct"/>
            <w:tcBorders>
              <w:top w:val="nil"/>
              <w:left w:val="nil"/>
              <w:bottom w:val="nil"/>
              <w:right w:val="nil"/>
            </w:tcBorders>
            <w:noWrap/>
            <w:vAlign w:val="center"/>
          </w:tcPr>
          <w:p w14:paraId="021B3C5C">
            <w:pPr>
              <w:widowControl/>
              <w:jc w:val="center"/>
              <w:textAlignment w:val="center"/>
              <w:rPr>
                <w:rFonts w:hint="default" w:ascii="FangSong_GB2312" w:hAnsi="FangSong_GB2312" w:eastAsia="FangSong_GB2312" w:cs="FangSong_GB2312"/>
                <w:b/>
                <w:bCs/>
                <w:color w:val="000000"/>
                <w:sz w:val="24"/>
                <w:lang w:val="en-US" w:eastAsia="zh-CN"/>
              </w:rPr>
            </w:pPr>
            <w:r>
              <w:rPr>
                <w:rFonts w:hint="eastAsia" w:ascii="FangSong_GB2312" w:hAnsi="FangSong_GB2312" w:eastAsia="FangSong_GB2312" w:cs="FangSong_GB2312"/>
                <w:b/>
                <w:bCs/>
                <w:color w:val="000000"/>
                <w:kern w:val="0"/>
                <w:sz w:val="28"/>
                <w:szCs w:val="28"/>
                <w:lang w:bidi="ar"/>
              </w:rPr>
              <w:t>贵州航天医院</w:t>
            </w:r>
            <w:r>
              <w:rPr>
                <w:rFonts w:hint="eastAsia" w:ascii="FangSong_GB2312" w:hAnsi="FangSong_GB2312" w:eastAsia="FangSong_GB2312" w:cs="FangSong_GB2312"/>
                <w:b/>
                <w:bCs/>
                <w:color w:val="000000"/>
                <w:kern w:val="0"/>
                <w:sz w:val="28"/>
                <w:szCs w:val="28"/>
                <w:lang w:val="en-US" w:eastAsia="zh-CN" w:bidi="ar"/>
              </w:rPr>
              <w:t>竞争性磋商</w:t>
            </w:r>
            <w:r>
              <w:rPr>
                <w:rFonts w:hint="eastAsia" w:ascii="FangSong_GB2312" w:hAnsi="FangSong_GB2312" w:eastAsia="FangSong_GB2312" w:cs="FangSong_GB2312"/>
                <w:b/>
                <w:bCs/>
                <w:color w:val="000000"/>
                <w:kern w:val="0"/>
                <w:sz w:val="28"/>
                <w:szCs w:val="28"/>
                <w:lang w:bidi="ar"/>
              </w:rPr>
              <w:t>公告</w:t>
            </w:r>
            <w:r>
              <w:rPr>
                <w:rFonts w:hint="eastAsia" w:ascii="FangSong_GB2312" w:hAnsi="FangSong_GB2312" w:eastAsia="FangSong_GB2312" w:cs="FangSong_GB2312"/>
                <w:b/>
                <w:bCs/>
                <w:color w:val="000000"/>
                <w:kern w:val="0"/>
                <w:sz w:val="28"/>
                <w:szCs w:val="28"/>
                <w:lang w:eastAsia="zh-CN" w:bidi="ar"/>
              </w:rPr>
              <w:t>（</w:t>
            </w:r>
            <w:r>
              <w:rPr>
                <w:rFonts w:hint="eastAsia" w:ascii="FangSong_GB2312" w:hAnsi="FangSong_GB2312" w:eastAsia="FangSong_GB2312" w:cs="FangSong_GB2312"/>
                <w:b/>
                <w:bCs/>
                <w:color w:val="000000"/>
                <w:kern w:val="0"/>
                <w:sz w:val="28"/>
                <w:szCs w:val="28"/>
                <w:lang w:val="en-US" w:eastAsia="zh-CN" w:bidi="ar"/>
              </w:rPr>
              <w:t>三次）</w:t>
            </w:r>
          </w:p>
        </w:tc>
      </w:tr>
      <w:tr w14:paraId="08F37DA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37C146FB">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一、项目基本情况：</w:t>
            </w:r>
          </w:p>
        </w:tc>
      </w:tr>
      <w:tr w14:paraId="261E4DF6">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02728600">
            <w:pPr>
              <w:rPr>
                <w:rFonts w:hint="default" w:ascii="FangSong_GB2312" w:hAnsi="FangSong_GB2312" w:eastAsia="FangSong_GB2312" w:cs="FangSong_GB2312"/>
                <w:color w:val="000000"/>
                <w:sz w:val="24"/>
                <w:lang w:val="en-US"/>
              </w:rPr>
            </w:pPr>
            <w:r>
              <w:rPr>
                <w:rFonts w:hint="eastAsia" w:ascii="FangSong_GB2312" w:hAnsi="FangSong_GB2312" w:eastAsia="FangSong_GB2312" w:cs="FangSong_GB2312"/>
                <w:color w:val="000000"/>
                <w:kern w:val="0"/>
                <w:sz w:val="24"/>
                <w:lang w:bidi="ar"/>
              </w:rPr>
              <w:t xml:space="preserve">    项目名称：贵州航天医院</w:t>
            </w:r>
            <w:r>
              <w:rPr>
                <w:rFonts w:hint="eastAsia" w:ascii="FangSong_GB2312" w:hAnsi="FangSong_GB2312" w:eastAsia="FangSong_GB2312" w:cs="FangSong_GB2312"/>
                <w:color w:val="000000"/>
                <w:kern w:val="0"/>
                <w:sz w:val="24"/>
                <w:lang w:val="en-US" w:eastAsia="zh-CN" w:bidi="ar"/>
              </w:rPr>
              <w:t>2026年网络安全等保测评服务供应商遴选</w:t>
            </w:r>
          </w:p>
        </w:tc>
      </w:tr>
      <w:tr w14:paraId="4746C0D9">
        <w:tblPrEx>
          <w:tblCellMar>
            <w:top w:w="0" w:type="dxa"/>
            <w:left w:w="108" w:type="dxa"/>
            <w:bottom w:w="0" w:type="dxa"/>
            <w:right w:w="108" w:type="dxa"/>
          </w:tblCellMar>
        </w:tblPrEx>
        <w:trPr>
          <w:trHeight w:val="463" w:hRule="atLeast"/>
          <w:jc w:val="center"/>
        </w:trPr>
        <w:tc>
          <w:tcPr>
            <w:tcW w:w="5000" w:type="pct"/>
            <w:tcBorders>
              <w:top w:val="nil"/>
              <w:left w:val="nil"/>
              <w:bottom w:val="nil"/>
              <w:right w:val="nil"/>
            </w:tcBorders>
            <w:noWrap/>
            <w:vAlign w:val="center"/>
          </w:tcPr>
          <w:p w14:paraId="253F7F16">
            <w:pPr>
              <w:rPr>
                <w:rFonts w:hint="default"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bidi="ar"/>
              </w:rPr>
              <w:t xml:space="preserve">    采购方式：</w:t>
            </w:r>
            <w:r>
              <w:rPr>
                <w:rFonts w:hint="eastAsia" w:ascii="FangSong_GB2312" w:hAnsi="FangSong_GB2312" w:eastAsia="FangSong_GB2312" w:cs="FangSong_GB2312"/>
                <w:color w:val="000000"/>
                <w:kern w:val="0"/>
                <w:sz w:val="24"/>
                <w:lang w:val="en-US" w:eastAsia="zh-CN" w:bidi="ar"/>
              </w:rPr>
              <w:t>竞争性磋商</w:t>
            </w:r>
          </w:p>
        </w:tc>
      </w:tr>
      <w:tr w14:paraId="21FB5D27">
        <w:tblPrEx>
          <w:tblCellMar>
            <w:top w:w="0" w:type="dxa"/>
            <w:left w:w="108" w:type="dxa"/>
            <w:bottom w:w="0" w:type="dxa"/>
            <w:right w:w="108" w:type="dxa"/>
          </w:tblCellMar>
        </w:tblPrEx>
        <w:trPr>
          <w:trHeight w:val="408" w:hRule="atLeast"/>
          <w:jc w:val="center"/>
        </w:trPr>
        <w:tc>
          <w:tcPr>
            <w:tcW w:w="5000" w:type="pct"/>
            <w:tcBorders>
              <w:top w:val="nil"/>
              <w:left w:val="nil"/>
              <w:bottom w:val="nil"/>
              <w:right w:val="nil"/>
            </w:tcBorders>
            <w:noWrap/>
            <w:vAlign w:val="center"/>
          </w:tcPr>
          <w:p w14:paraId="04578010">
            <w:pPr>
              <w:rPr>
                <w:rFonts w:hint="default"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val="en-US" w:eastAsia="zh-CN" w:bidi="ar"/>
              </w:rPr>
              <w:t xml:space="preserve">    </w:t>
            </w:r>
            <w:r>
              <w:rPr>
                <w:rFonts w:hint="eastAsia" w:ascii="FangSong_GB2312" w:hAnsi="FangSong_GB2312" w:eastAsia="FangSong_GB2312" w:cs="FangSong_GB2312"/>
                <w:color w:val="000000"/>
                <w:kern w:val="0"/>
                <w:sz w:val="24"/>
                <w:lang w:bidi="ar"/>
              </w:rPr>
              <w:t>预算金额：</w:t>
            </w:r>
            <w:r>
              <w:rPr>
                <w:rFonts w:hint="eastAsia" w:ascii="FangSong_GB2312" w:hAnsi="FangSong_GB2312" w:eastAsia="FangSong_GB2312" w:cs="FangSong_GB2312"/>
                <w:color w:val="000000"/>
                <w:kern w:val="0"/>
                <w:sz w:val="24"/>
                <w:lang w:val="en-US" w:eastAsia="zh-CN" w:bidi="ar"/>
              </w:rPr>
              <w:t>20万元</w:t>
            </w:r>
          </w:p>
        </w:tc>
      </w:tr>
      <w:tr w14:paraId="6EFDEDFB">
        <w:tblPrEx>
          <w:tblCellMar>
            <w:top w:w="0" w:type="dxa"/>
            <w:left w:w="108" w:type="dxa"/>
            <w:bottom w:w="0" w:type="dxa"/>
            <w:right w:w="108" w:type="dxa"/>
          </w:tblCellMar>
        </w:tblPrEx>
        <w:trPr>
          <w:trHeight w:val="408" w:hRule="atLeast"/>
          <w:jc w:val="center"/>
        </w:trPr>
        <w:tc>
          <w:tcPr>
            <w:tcW w:w="5000" w:type="pct"/>
            <w:tcBorders>
              <w:top w:val="nil"/>
              <w:left w:val="nil"/>
              <w:bottom w:val="nil"/>
              <w:right w:val="nil"/>
            </w:tcBorders>
            <w:noWrap/>
            <w:vAlign w:val="center"/>
          </w:tcPr>
          <w:p w14:paraId="50C2371A">
            <w:pPr>
              <w:keepNext w:val="0"/>
              <w:keepLines w:val="0"/>
              <w:widowControl/>
              <w:suppressLineNumbers w:val="0"/>
              <w:ind w:firstLine="480" w:firstLineChars="200"/>
              <w:jc w:val="left"/>
              <w:rPr>
                <w:rFonts w:hint="default"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bidi="ar"/>
              </w:rPr>
              <w:t>最高限价：</w:t>
            </w:r>
            <w:r>
              <w:rPr>
                <w:rFonts w:hint="eastAsia" w:ascii="FangSong_GB2312" w:hAnsi="FangSong_GB2312" w:eastAsia="FangSong_GB2312" w:cs="FangSong_GB2312"/>
                <w:color w:val="000000"/>
                <w:kern w:val="0"/>
                <w:sz w:val="24"/>
                <w:lang w:val="en-US" w:eastAsia="zh-CN" w:bidi="ar"/>
              </w:rPr>
              <w:t>20万元</w:t>
            </w:r>
          </w:p>
        </w:tc>
      </w:tr>
      <w:tr w14:paraId="07E585D1">
        <w:tblPrEx>
          <w:tblCellMar>
            <w:top w:w="0" w:type="dxa"/>
            <w:left w:w="108" w:type="dxa"/>
            <w:bottom w:w="0" w:type="dxa"/>
            <w:right w:w="108" w:type="dxa"/>
          </w:tblCellMar>
        </w:tblPrEx>
        <w:trPr>
          <w:trHeight w:val="611" w:hRule="atLeast"/>
          <w:jc w:val="center"/>
        </w:trPr>
        <w:tc>
          <w:tcPr>
            <w:tcW w:w="5000" w:type="pct"/>
            <w:tcBorders>
              <w:top w:val="nil"/>
              <w:left w:val="nil"/>
              <w:bottom w:val="nil"/>
              <w:right w:val="nil"/>
            </w:tcBorders>
            <w:noWrap/>
            <w:vAlign w:val="center"/>
          </w:tcPr>
          <w:p w14:paraId="3409BF9A">
            <w:pPr>
              <w:widowControl/>
              <w:ind w:firstLine="480" w:firstLineChars="200"/>
              <w:jc w:val="left"/>
              <w:textAlignment w:val="center"/>
              <w:rPr>
                <w:rFonts w:hint="default"/>
                <w:lang w:val="en-US" w:eastAsia="zh-CN"/>
              </w:rPr>
            </w:pPr>
            <w:r>
              <w:rPr>
                <w:rFonts w:hint="eastAsia" w:ascii="FangSong_GB2312" w:hAnsi="FangSong_GB2312" w:eastAsia="FangSong_GB2312" w:cs="FangSong_GB2312"/>
                <w:color w:val="000000"/>
                <w:kern w:val="0"/>
                <w:sz w:val="24"/>
                <w:lang w:val="en-US" w:eastAsia="zh-CN" w:bidi="ar"/>
              </w:rPr>
              <w:t>采购需求：遴选一家供应商对我院进行2026年网络安全等保测评服务。</w:t>
            </w:r>
            <w:r>
              <w:rPr>
                <w:rFonts w:hint="eastAsia" w:ascii="FangSong_GB2312" w:hAnsi="FangSong_GB2312" w:eastAsia="FangSong_GB2312" w:cs="FangSong_GB2312"/>
                <w:b w:val="0"/>
                <w:bCs w:val="0"/>
                <w:color w:val="000000"/>
                <w:kern w:val="0"/>
                <w:sz w:val="24"/>
                <w:lang w:val="en-US" w:eastAsia="zh-CN" w:bidi="ar"/>
              </w:rPr>
              <w:t>评分方法见附件1；</w:t>
            </w:r>
            <w:r>
              <w:rPr>
                <w:rFonts w:hint="eastAsia" w:ascii="FangSong_GB2312" w:hAnsi="FangSong_GB2312" w:eastAsia="FangSong_GB2312" w:cs="FangSong_GB2312"/>
                <w:b/>
                <w:bCs/>
                <w:color w:val="000000"/>
                <w:kern w:val="0"/>
                <w:sz w:val="24"/>
                <w:lang w:val="en-US" w:eastAsia="zh-CN" w:bidi="ar"/>
              </w:rPr>
              <w:t>技术参数详见附件2，需提供技术参数偏离表（按模板附件3填写）</w:t>
            </w:r>
            <w:r>
              <w:rPr>
                <w:rFonts w:hint="eastAsia" w:ascii="FangSong_GB2312" w:hAnsi="FangSong_GB2312" w:eastAsia="FangSong_GB2312" w:cs="FangSong_GB2312"/>
                <w:color w:val="000000"/>
                <w:kern w:val="0"/>
                <w:sz w:val="24"/>
                <w:lang w:val="en-US" w:eastAsia="zh-CN" w:bidi="ar"/>
              </w:rPr>
              <w:t>。</w:t>
            </w:r>
          </w:p>
        </w:tc>
      </w:tr>
      <w:tr w14:paraId="38B15F84">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1C0CE5F6">
            <w:pPr>
              <w:widowControl/>
              <w:jc w:val="left"/>
              <w:textAlignment w:val="center"/>
              <w:rPr>
                <w:rFonts w:hint="eastAsia" w:ascii="FangSong_GB2312" w:hAnsi="FangSong_GB2312" w:eastAsia="FangSong_GB2312" w:cs="FangSong_GB2312"/>
                <w:color w:val="000000"/>
                <w:kern w:val="0"/>
                <w:sz w:val="24"/>
                <w:lang w:eastAsia="zh-CN" w:bidi="ar"/>
              </w:rPr>
            </w:pPr>
            <w:r>
              <w:rPr>
                <w:rFonts w:hint="eastAsia" w:ascii="FangSong_GB2312" w:hAnsi="FangSong_GB2312" w:eastAsia="FangSong_GB2312" w:cs="FangSong_GB2312"/>
                <w:color w:val="000000"/>
                <w:kern w:val="0"/>
                <w:sz w:val="24"/>
                <w:lang w:bidi="ar"/>
              </w:rPr>
              <w:t xml:space="preserve">    合同履行期限：合同签订之日起</w:t>
            </w:r>
            <w:r>
              <w:rPr>
                <w:rFonts w:hint="eastAsia" w:ascii="FangSong_GB2312" w:hAnsi="FangSong_GB2312" w:eastAsia="FangSong_GB2312" w:cs="FangSong_GB2312"/>
                <w:color w:val="000000"/>
                <w:kern w:val="0"/>
                <w:sz w:val="24"/>
                <w:lang w:val="en-US" w:eastAsia="zh-CN" w:bidi="ar"/>
              </w:rPr>
              <w:t>15个工作日内</w:t>
            </w:r>
            <w:r>
              <w:rPr>
                <w:rFonts w:hint="eastAsia" w:ascii="FangSong_GB2312" w:hAnsi="FangSong_GB2312" w:eastAsia="FangSong_GB2312" w:cs="FangSong_GB2312"/>
                <w:color w:val="000000"/>
                <w:kern w:val="0"/>
                <w:sz w:val="24"/>
                <w:lang w:bidi="ar"/>
              </w:rPr>
              <w:t>履行</w:t>
            </w:r>
            <w:r>
              <w:rPr>
                <w:rFonts w:hint="eastAsia" w:ascii="FangSong_GB2312" w:hAnsi="FangSong_GB2312" w:eastAsia="FangSong_GB2312" w:cs="FangSong_GB2312"/>
                <w:color w:val="000000"/>
                <w:kern w:val="0"/>
                <w:sz w:val="24"/>
                <w:lang w:eastAsia="zh-CN" w:bidi="ar"/>
              </w:rPr>
              <w:t>。</w:t>
            </w:r>
          </w:p>
        </w:tc>
      </w:tr>
      <w:tr w14:paraId="3DF5744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0F2E49AF">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交货地点或服务地点：贵州航天医院</w:t>
            </w:r>
          </w:p>
        </w:tc>
      </w:tr>
      <w:tr w14:paraId="7791B703">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noWrap/>
            <w:vAlign w:val="center"/>
          </w:tcPr>
          <w:p w14:paraId="24552DE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二、投标人资格要求：</w:t>
            </w:r>
          </w:p>
        </w:tc>
      </w:tr>
      <w:tr w14:paraId="62D49F3B">
        <w:tblPrEx>
          <w:tblCellMar>
            <w:top w:w="0" w:type="dxa"/>
            <w:left w:w="108" w:type="dxa"/>
            <w:bottom w:w="0" w:type="dxa"/>
            <w:right w:w="108" w:type="dxa"/>
          </w:tblCellMar>
        </w:tblPrEx>
        <w:trPr>
          <w:trHeight w:val="430" w:hRule="atLeast"/>
          <w:jc w:val="center"/>
        </w:trPr>
        <w:tc>
          <w:tcPr>
            <w:tcW w:w="5000" w:type="pct"/>
            <w:tcBorders>
              <w:top w:val="nil"/>
              <w:left w:val="nil"/>
              <w:bottom w:val="nil"/>
              <w:right w:val="nil"/>
            </w:tcBorders>
            <w:vAlign w:val="center"/>
          </w:tcPr>
          <w:p w14:paraId="5C6EFC28">
            <w:pPr>
              <w:widowControl/>
              <w:numPr>
                <w:ilvl w:val="0"/>
                <w:numId w:val="0"/>
              </w:numPr>
              <w:ind w:firstLine="480" w:firstLineChars="200"/>
              <w:jc w:val="left"/>
              <w:textAlignment w:val="center"/>
              <w:rPr>
                <w:rFonts w:hint="eastAsia"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val="en-US" w:eastAsia="zh-CN" w:bidi="ar"/>
              </w:rPr>
              <w:t>具备</w:t>
            </w:r>
            <w:r>
              <w:rPr>
                <w:rFonts w:hint="eastAsia" w:ascii="FangSong_GB2312" w:hAnsi="FangSong_GB2312" w:eastAsia="FangSong_GB2312" w:cs="FangSong_GB2312"/>
                <w:color w:val="000000"/>
                <w:kern w:val="0"/>
                <w:sz w:val="24"/>
                <w:lang w:bidi="ar"/>
              </w:rPr>
              <w:t>独立承担民事责任的能力，</w:t>
            </w:r>
            <w:r>
              <w:rPr>
                <w:rFonts w:hint="eastAsia" w:ascii="FangSong_GB2312" w:hAnsi="FangSong_GB2312" w:eastAsia="FangSong_GB2312" w:cs="FangSong_GB2312"/>
                <w:color w:val="000000"/>
                <w:kern w:val="0"/>
                <w:sz w:val="24"/>
                <w:lang w:val="en-US" w:eastAsia="zh-CN" w:bidi="ar"/>
              </w:rPr>
              <w:t>提供</w:t>
            </w:r>
            <w:r>
              <w:rPr>
                <w:rFonts w:hint="eastAsia" w:ascii="FangSong_GB2312" w:hAnsi="FangSong_GB2312" w:eastAsia="FangSong_GB2312" w:cs="FangSong_GB2312"/>
                <w:color w:val="000000"/>
                <w:kern w:val="0"/>
                <w:sz w:val="24"/>
                <w:lang w:bidi="ar"/>
              </w:rPr>
              <w:t>如营业执照、自然人身份证明等</w:t>
            </w:r>
            <w:r>
              <w:rPr>
                <w:rFonts w:hint="eastAsia" w:ascii="FangSong_GB2312" w:hAnsi="FangSong_GB2312" w:eastAsia="FangSong_GB2312" w:cs="FangSong_GB2312"/>
                <w:color w:val="000000"/>
                <w:kern w:val="0"/>
                <w:sz w:val="24"/>
                <w:lang w:eastAsia="zh-CN" w:bidi="ar"/>
              </w:rPr>
              <w:t>。</w:t>
            </w:r>
          </w:p>
        </w:tc>
      </w:tr>
      <w:tr w14:paraId="34FBCFF4">
        <w:tblPrEx>
          <w:tblCellMar>
            <w:top w:w="0" w:type="dxa"/>
            <w:left w:w="108" w:type="dxa"/>
            <w:bottom w:w="0" w:type="dxa"/>
            <w:right w:w="108" w:type="dxa"/>
          </w:tblCellMar>
        </w:tblPrEx>
        <w:trPr>
          <w:trHeight w:val="493" w:hRule="atLeast"/>
          <w:jc w:val="center"/>
        </w:trPr>
        <w:tc>
          <w:tcPr>
            <w:tcW w:w="5000" w:type="pct"/>
            <w:tcBorders>
              <w:top w:val="nil"/>
              <w:left w:val="nil"/>
              <w:bottom w:val="nil"/>
              <w:right w:val="nil"/>
            </w:tcBorders>
            <w:vAlign w:val="center"/>
          </w:tcPr>
          <w:p w14:paraId="73C0C5B6">
            <w:pPr>
              <w:widowControl/>
              <w:ind w:firstLine="480" w:firstLineChars="200"/>
              <w:jc w:val="left"/>
              <w:textAlignment w:val="center"/>
              <w:rPr>
                <w:rFonts w:hint="eastAsia"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bidi="ar"/>
              </w:rPr>
              <w:t>具有履行合同</w:t>
            </w:r>
            <w:r>
              <w:rPr>
                <w:rFonts w:hint="eastAsia" w:ascii="FangSong_GB2312" w:hAnsi="FangSong_GB2312" w:eastAsia="FangSong_GB2312" w:cs="FangSong_GB2312"/>
                <w:color w:val="000000"/>
                <w:kern w:val="0"/>
                <w:sz w:val="24"/>
                <w:lang w:eastAsia="zh-CN" w:bidi="ar"/>
              </w:rPr>
              <w:t>所必需的</w:t>
            </w:r>
            <w:r>
              <w:rPr>
                <w:rFonts w:hint="eastAsia" w:ascii="FangSong_GB2312" w:hAnsi="FangSong_GB2312" w:eastAsia="FangSong_GB2312" w:cs="FangSong_GB2312"/>
                <w:color w:val="000000"/>
                <w:kern w:val="0"/>
                <w:sz w:val="24"/>
                <w:lang w:bidi="ar"/>
              </w:rPr>
              <w:t>能力(资料或承诺)</w:t>
            </w:r>
            <w:r>
              <w:rPr>
                <w:rFonts w:hint="eastAsia" w:ascii="FangSong_GB2312" w:hAnsi="FangSong_GB2312" w:eastAsia="FangSong_GB2312" w:cs="FangSong_GB2312"/>
                <w:color w:val="000000"/>
                <w:kern w:val="0"/>
                <w:sz w:val="24"/>
                <w:lang w:eastAsia="zh-CN" w:bidi="ar"/>
              </w:rPr>
              <w:t>。</w:t>
            </w:r>
          </w:p>
        </w:tc>
      </w:tr>
      <w:tr w14:paraId="3B87B654">
        <w:tblPrEx>
          <w:tblCellMar>
            <w:top w:w="0" w:type="dxa"/>
            <w:left w:w="108" w:type="dxa"/>
            <w:bottom w:w="0" w:type="dxa"/>
            <w:right w:w="108" w:type="dxa"/>
          </w:tblCellMar>
        </w:tblPrEx>
        <w:trPr>
          <w:trHeight w:val="403" w:hRule="atLeast"/>
          <w:jc w:val="center"/>
        </w:trPr>
        <w:tc>
          <w:tcPr>
            <w:tcW w:w="5000" w:type="pct"/>
            <w:tcBorders>
              <w:top w:val="nil"/>
              <w:left w:val="nil"/>
              <w:bottom w:val="nil"/>
              <w:right w:val="nil"/>
            </w:tcBorders>
            <w:vAlign w:val="center"/>
          </w:tcPr>
          <w:p w14:paraId="4FED95EB">
            <w:pPr>
              <w:widowControl/>
              <w:ind w:firstLine="480" w:firstLineChars="200"/>
              <w:jc w:val="left"/>
              <w:textAlignment w:val="center"/>
              <w:rPr>
                <w:rFonts w:hint="eastAsia"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val="en-US" w:eastAsia="zh-CN" w:bidi="ar"/>
              </w:rPr>
              <w:t>提供</w:t>
            </w:r>
            <w:r>
              <w:rPr>
                <w:rFonts w:hint="eastAsia" w:ascii="FangSong_GB2312" w:hAnsi="FangSong_GB2312" w:eastAsia="FangSong_GB2312" w:cs="FangSong_GB2312"/>
                <w:color w:val="000000"/>
                <w:kern w:val="0"/>
                <w:sz w:val="24"/>
                <w:lang w:bidi="ar"/>
              </w:rPr>
              <w:t>不是失信被执行人、</w:t>
            </w:r>
            <w:r>
              <w:rPr>
                <w:rFonts w:hint="eastAsia" w:ascii="FangSong_GB2312" w:hAnsi="FangSong_GB2312" w:eastAsia="FangSong_GB2312" w:cs="FangSong_GB2312"/>
                <w:color w:val="000000"/>
                <w:kern w:val="0"/>
                <w:sz w:val="24"/>
                <w:lang w:val="en-US" w:eastAsia="zh-CN" w:bidi="ar"/>
              </w:rPr>
              <w:t>无</w:t>
            </w:r>
            <w:r>
              <w:rPr>
                <w:rFonts w:hint="eastAsia" w:ascii="FangSong_GB2312" w:hAnsi="FangSong_GB2312" w:eastAsia="FangSong_GB2312" w:cs="FangSong_GB2312"/>
                <w:color w:val="000000"/>
                <w:kern w:val="0"/>
                <w:sz w:val="24"/>
                <w:lang w:bidi="ar"/>
              </w:rPr>
              <w:t>重大税收违法案件当事人等的承诺或资料</w:t>
            </w:r>
            <w:r>
              <w:rPr>
                <w:rFonts w:hint="eastAsia" w:ascii="FangSong_GB2312" w:hAnsi="FangSong_GB2312" w:eastAsia="FangSong_GB2312" w:cs="FangSong_GB2312"/>
                <w:color w:val="000000"/>
                <w:kern w:val="0"/>
                <w:sz w:val="24"/>
                <w:lang w:eastAsia="zh-CN" w:bidi="ar"/>
              </w:rPr>
              <w:t>。</w:t>
            </w:r>
          </w:p>
        </w:tc>
      </w:tr>
      <w:tr w14:paraId="477D5069">
        <w:tblPrEx>
          <w:tblCellMar>
            <w:top w:w="0" w:type="dxa"/>
            <w:left w:w="108" w:type="dxa"/>
            <w:bottom w:w="0" w:type="dxa"/>
            <w:right w:w="108" w:type="dxa"/>
          </w:tblCellMar>
        </w:tblPrEx>
        <w:trPr>
          <w:trHeight w:val="430" w:hRule="atLeast"/>
          <w:jc w:val="center"/>
        </w:trPr>
        <w:tc>
          <w:tcPr>
            <w:tcW w:w="5000" w:type="pct"/>
            <w:tcBorders>
              <w:top w:val="nil"/>
              <w:left w:val="nil"/>
              <w:bottom w:val="nil"/>
              <w:right w:val="nil"/>
            </w:tcBorders>
            <w:vAlign w:val="center"/>
          </w:tcPr>
          <w:p w14:paraId="6E680F10">
            <w:pPr>
              <w:widowControl/>
              <w:ind w:firstLine="480" w:firstLineChars="200"/>
              <w:jc w:val="left"/>
              <w:textAlignment w:val="center"/>
              <w:rPr>
                <w:rFonts w:hint="eastAsia" w:ascii="FangSong_GB2312" w:hAnsi="FangSong_GB2312" w:eastAsia="FangSong_GB2312" w:cs="FangSong_GB2312"/>
                <w:color w:val="000000"/>
                <w:kern w:val="0"/>
                <w:sz w:val="24"/>
                <w:lang w:val="en-US" w:eastAsia="zh-CN" w:bidi="ar"/>
              </w:rPr>
            </w:pPr>
            <w:r>
              <w:rPr>
                <w:rFonts w:hint="eastAsia" w:ascii="FangSong_GB2312" w:hAnsi="FangSong_GB2312" w:eastAsia="FangSong_GB2312" w:cs="FangSong_GB2312"/>
                <w:color w:val="000000"/>
                <w:kern w:val="0"/>
                <w:sz w:val="24"/>
                <w:lang w:bidi="ar"/>
              </w:rPr>
              <w:t>是否接受联合体投标:否</w:t>
            </w:r>
          </w:p>
        </w:tc>
      </w:tr>
      <w:tr w14:paraId="735CB407">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E014EA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三、获取采购文件</w:t>
            </w:r>
          </w:p>
        </w:tc>
      </w:tr>
      <w:tr w14:paraId="08815170">
        <w:tblPrEx>
          <w:tblCellMar>
            <w:top w:w="0" w:type="dxa"/>
            <w:left w:w="108" w:type="dxa"/>
            <w:bottom w:w="0" w:type="dxa"/>
            <w:right w:w="108" w:type="dxa"/>
          </w:tblCellMar>
        </w:tblPrEx>
        <w:trPr>
          <w:trHeight w:val="412" w:hRule="atLeast"/>
          <w:jc w:val="center"/>
        </w:trPr>
        <w:tc>
          <w:tcPr>
            <w:tcW w:w="5000" w:type="pct"/>
            <w:tcBorders>
              <w:top w:val="nil"/>
              <w:left w:val="nil"/>
              <w:bottom w:val="nil"/>
              <w:right w:val="nil"/>
            </w:tcBorders>
            <w:vAlign w:val="center"/>
          </w:tcPr>
          <w:p w14:paraId="091510A2">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时间：自本公告发布之日起</w:t>
            </w:r>
            <w:r>
              <w:rPr>
                <w:rFonts w:hint="eastAsia" w:ascii="FangSong_GB2312" w:hAnsi="FangSong_GB2312" w:eastAsia="FangSong_GB2312" w:cs="FangSong_GB2312"/>
                <w:color w:val="000000"/>
                <w:kern w:val="0"/>
                <w:sz w:val="24"/>
                <w:lang w:val="en-US" w:eastAsia="zh-CN" w:bidi="ar"/>
              </w:rPr>
              <w:t>5</w:t>
            </w:r>
            <w:r>
              <w:rPr>
                <w:rFonts w:hint="eastAsia" w:ascii="FangSong_GB2312" w:hAnsi="FangSong_GB2312" w:eastAsia="FangSong_GB2312" w:cs="FangSong_GB2312"/>
                <w:color w:val="000000"/>
                <w:kern w:val="0"/>
                <w:sz w:val="24"/>
                <w:lang w:bidi="ar"/>
              </w:rPr>
              <w:t>个工作日内</w:t>
            </w:r>
          </w:p>
        </w:tc>
      </w:tr>
      <w:tr w14:paraId="52269827">
        <w:tblPrEx>
          <w:tblCellMar>
            <w:top w:w="0" w:type="dxa"/>
            <w:left w:w="108" w:type="dxa"/>
            <w:bottom w:w="0" w:type="dxa"/>
            <w:right w:w="108" w:type="dxa"/>
          </w:tblCellMar>
        </w:tblPrEx>
        <w:trPr>
          <w:trHeight w:val="403" w:hRule="atLeast"/>
          <w:jc w:val="center"/>
        </w:trPr>
        <w:tc>
          <w:tcPr>
            <w:tcW w:w="5000" w:type="pct"/>
            <w:tcBorders>
              <w:top w:val="nil"/>
              <w:left w:val="nil"/>
              <w:bottom w:val="nil"/>
              <w:right w:val="nil"/>
            </w:tcBorders>
            <w:vAlign w:val="center"/>
          </w:tcPr>
          <w:p w14:paraId="755E3479">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获取采购文件的地点或方式：挂网公告</w:t>
            </w:r>
          </w:p>
        </w:tc>
      </w:tr>
      <w:tr w14:paraId="2C950E17">
        <w:tblPrEx>
          <w:tblCellMar>
            <w:top w:w="0" w:type="dxa"/>
            <w:left w:w="108" w:type="dxa"/>
            <w:bottom w:w="0" w:type="dxa"/>
            <w:right w:w="108" w:type="dxa"/>
          </w:tblCellMar>
        </w:tblPrEx>
        <w:trPr>
          <w:trHeight w:val="404" w:hRule="atLeast"/>
          <w:jc w:val="center"/>
        </w:trPr>
        <w:tc>
          <w:tcPr>
            <w:tcW w:w="5000" w:type="pct"/>
            <w:tcBorders>
              <w:top w:val="nil"/>
              <w:left w:val="nil"/>
              <w:bottom w:val="nil"/>
              <w:right w:val="nil"/>
            </w:tcBorders>
            <w:vAlign w:val="center"/>
          </w:tcPr>
          <w:p w14:paraId="51316E57">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000000"/>
                <w:kern w:val="0"/>
                <w:sz w:val="24"/>
                <w:lang w:bidi="ar"/>
              </w:rPr>
              <w:t xml:space="preserve">    是否交纳投标保证金（交纳方式）：否</w:t>
            </w:r>
          </w:p>
        </w:tc>
      </w:tr>
      <w:tr w14:paraId="2F1A2FB0">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0E4A3AC5">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四、响应文件提交</w:t>
            </w:r>
          </w:p>
        </w:tc>
      </w:tr>
      <w:tr w14:paraId="6C2AE826">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128B92BC">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color w:val="auto"/>
                <w:kern w:val="0"/>
                <w:sz w:val="24"/>
                <w:lang w:bidi="ar"/>
              </w:rPr>
              <w:t xml:space="preserve">    截止时间：自本公告发布之日起</w:t>
            </w:r>
            <w:r>
              <w:rPr>
                <w:rFonts w:hint="eastAsia" w:ascii="FangSong_GB2312" w:hAnsi="FangSong_GB2312" w:eastAsia="FangSong_GB2312" w:cs="FangSong_GB2312"/>
                <w:color w:val="auto"/>
                <w:kern w:val="0"/>
                <w:sz w:val="24"/>
                <w:lang w:val="en-US" w:eastAsia="zh-CN" w:bidi="ar"/>
              </w:rPr>
              <w:t>5</w:t>
            </w:r>
            <w:r>
              <w:rPr>
                <w:rFonts w:hint="eastAsia" w:ascii="FangSong_GB2312" w:hAnsi="FangSong_GB2312" w:eastAsia="FangSong_GB2312" w:cs="FangSong_GB2312"/>
                <w:color w:val="auto"/>
                <w:kern w:val="0"/>
                <w:sz w:val="24"/>
                <w:lang w:bidi="ar"/>
              </w:rPr>
              <w:t>个工作日内</w:t>
            </w:r>
          </w:p>
        </w:tc>
      </w:tr>
      <w:tr w14:paraId="5929AD51">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08BBF62F">
            <w:pPr>
              <w:widowControl/>
              <w:jc w:val="left"/>
              <w:textAlignment w:val="center"/>
              <w:rPr>
                <w:rFonts w:hint="eastAsia" w:ascii="FangSong_GB2312" w:hAnsi="FangSong_GB2312" w:eastAsia="FangSong_GB2312" w:cs="FangSong_GB2312"/>
                <w:color w:val="000000"/>
                <w:kern w:val="0"/>
                <w:sz w:val="24"/>
                <w:lang w:eastAsia="zh-CN" w:bidi="ar"/>
              </w:rPr>
            </w:pPr>
            <w:r>
              <w:rPr>
                <w:rFonts w:hint="eastAsia" w:ascii="FangSong_GB2312" w:hAnsi="FangSong_GB2312" w:eastAsia="FangSong_GB2312" w:cs="FangSong_GB2312"/>
                <w:color w:val="auto"/>
                <w:kern w:val="0"/>
                <w:sz w:val="24"/>
                <w:lang w:bidi="ar"/>
              </w:rPr>
              <w:t xml:space="preserve">    地点：贵州航天医院</w:t>
            </w:r>
            <w:r>
              <w:rPr>
                <w:rFonts w:hint="eastAsia" w:ascii="FangSong_GB2312" w:hAnsi="FangSong_GB2312" w:eastAsia="FangSong_GB2312" w:cs="FangSong_GB2312"/>
                <w:color w:val="auto"/>
                <w:kern w:val="0"/>
                <w:sz w:val="24"/>
                <w:lang w:eastAsia="zh-CN" w:bidi="ar"/>
              </w:rPr>
              <w:t>外科综合楼一楼</w:t>
            </w:r>
            <w:r>
              <w:rPr>
                <w:rFonts w:hint="eastAsia" w:ascii="FangSong_GB2312" w:hAnsi="FangSong_GB2312" w:eastAsia="FangSong_GB2312" w:cs="FangSong_GB2312"/>
                <w:color w:val="auto"/>
                <w:kern w:val="0"/>
                <w:sz w:val="24"/>
                <w:lang w:val="en-US" w:eastAsia="zh-CN" w:bidi="ar"/>
              </w:rPr>
              <w:t>采购办赵老师</w:t>
            </w:r>
            <w:r>
              <w:rPr>
                <w:rFonts w:hint="eastAsia" w:ascii="FangSong_GB2312" w:hAnsi="FangSong_GB2312" w:eastAsia="FangSong_GB2312" w:cs="FangSong_GB2312"/>
                <w:color w:val="auto"/>
                <w:kern w:val="0"/>
                <w:sz w:val="24"/>
                <w:lang w:bidi="ar"/>
              </w:rPr>
              <w:t>收</w:t>
            </w:r>
          </w:p>
        </w:tc>
      </w:tr>
      <w:tr w14:paraId="73DD94CD">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24EF9A13">
            <w:pPr>
              <w:widowControl/>
              <w:ind w:firstLine="480" w:firstLineChars="200"/>
              <w:jc w:val="left"/>
              <w:textAlignment w:val="center"/>
              <w:rPr>
                <w:rFonts w:hint="default" w:ascii="FangSong_GB2312" w:hAnsi="FangSong_GB2312" w:eastAsia="FangSong_GB2312" w:cs="FangSong_GB2312"/>
                <w:color w:val="000000"/>
                <w:kern w:val="0"/>
                <w:sz w:val="24"/>
                <w:lang w:val="en-US" w:bidi="ar"/>
              </w:rPr>
            </w:pPr>
            <w:r>
              <w:rPr>
                <w:rFonts w:hint="eastAsia" w:ascii="FangSong_GB2312" w:hAnsi="FangSong_GB2312" w:eastAsia="FangSong_GB2312" w:cs="FangSong_GB2312"/>
                <w:color w:val="auto"/>
                <w:kern w:val="0"/>
                <w:sz w:val="24"/>
                <w:lang w:val="en-US" w:eastAsia="zh-CN" w:bidi="ar"/>
              </w:rPr>
              <w:t>响应文件投递方式：现场投递或邮寄投递</w:t>
            </w:r>
          </w:p>
        </w:tc>
      </w:tr>
      <w:tr w14:paraId="7A29BE9D">
        <w:tblPrEx>
          <w:tblCellMar>
            <w:top w:w="0" w:type="dxa"/>
            <w:left w:w="108" w:type="dxa"/>
            <w:bottom w:w="0" w:type="dxa"/>
            <w:right w:w="108" w:type="dxa"/>
          </w:tblCellMar>
        </w:tblPrEx>
        <w:trPr>
          <w:trHeight w:val="420" w:hRule="atLeast"/>
          <w:jc w:val="center"/>
        </w:trPr>
        <w:tc>
          <w:tcPr>
            <w:tcW w:w="5000" w:type="pct"/>
            <w:tcBorders>
              <w:top w:val="nil"/>
              <w:left w:val="nil"/>
              <w:bottom w:val="nil"/>
              <w:right w:val="nil"/>
            </w:tcBorders>
            <w:vAlign w:val="center"/>
          </w:tcPr>
          <w:p w14:paraId="25DA23E2">
            <w:pPr>
              <w:widowControl/>
              <w:ind w:firstLine="480" w:firstLineChars="200"/>
              <w:jc w:val="left"/>
              <w:textAlignment w:val="center"/>
              <w:rPr>
                <w:rFonts w:hint="eastAsia" w:ascii="FangSong_GB2312" w:hAnsi="FangSong_GB2312" w:eastAsia="FangSong_GB2312" w:cs="FangSong_GB2312"/>
                <w:color w:val="000000"/>
                <w:kern w:val="0"/>
                <w:sz w:val="24"/>
                <w:lang w:bidi="ar"/>
              </w:rPr>
            </w:pPr>
            <w:r>
              <w:rPr>
                <w:rFonts w:hint="eastAsia" w:ascii="FangSong_GB2312" w:hAnsi="FangSong_GB2312" w:eastAsia="FangSong_GB2312" w:cs="FangSong_GB2312"/>
                <w:color w:val="auto"/>
                <w:kern w:val="0"/>
                <w:sz w:val="24"/>
                <w:lang w:val="en-US" w:eastAsia="zh-CN" w:bidi="ar"/>
              </w:rPr>
              <w:t>投标人要求：需由法人或法人委托的代理人持“授权委托书”进行投递，邮寄需邮寄人为法人或代理人，代理人需附“授权委托书”。</w:t>
            </w:r>
          </w:p>
        </w:tc>
      </w:tr>
      <w:tr w14:paraId="4CFCDB20">
        <w:tblPrEx>
          <w:tblCellMar>
            <w:top w:w="0" w:type="dxa"/>
            <w:left w:w="108" w:type="dxa"/>
            <w:bottom w:w="0" w:type="dxa"/>
            <w:right w:w="108" w:type="dxa"/>
          </w:tblCellMar>
        </w:tblPrEx>
        <w:trPr>
          <w:trHeight w:val="744" w:hRule="atLeast"/>
          <w:jc w:val="center"/>
        </w:trPr>
        <w:tc>
          <w:tcPr>
            <w:tcW w:w="5000" w:type="pct"/>
            <w:tcBorders>
              <w:top w:val="nil"/>
              <w:left w:val="nil"/>
              <w:bottom w:val="nil"/>
              <w:right w:val="nil"/>
            </w:tcBorders>
            <w:vAlign w:val="center"/>
          </w:tcPr>
          <w:p w14:paraId="1B2E1E86">
            <w:pPr>
              <w:widowControl/>
              <w:ind w:firstLine="480" w:firstLineChars="200"/>
              <w:jc w:val="left"/>
              <w:textAlignment w:val="center"/>
              <w:rPr>
                <w:rFonts w:hint="default" w:ascii="FangSong_GB2312" w:hAnsi="FangSong_GB2312" w:eastAsia="FangSong_GB2312" w:cs="FangSong_GB2312"/>
                <w:color w:val="000000"/>
                <w:kern w:val="0"/>
                <w:sz w:val="24"/>
                <w:lang w:val="en-US" w:bidi="ar"/>
              </w:rPr>
            </w:pPr>
            <w:r>
              <w:rPr>
                <w:rFonts w:hint="eastAsia" w:ascii="FangSong_GB2312" w:hAnsi="FangSong_GB2312" w:eastAsia="FangSong_GB2312" w:cs="FangSong_GB2312"/>
                <w:color w:val="auto"/>
                <w:kern w:val="0"/>
                <w:sz w:val="24"/>
                <w:lang w:val="en-US" w:eastAsia="zh-CN" w:bidi="ar"/>
              </w:rPr>
              <w:t>投标文件需为</w:t>
            </w:r>
            <w:r>
              <w:rPr>
                <w:rFonts w:hint="eastAsia" w:ascii="FangSong_GB2312" w:hAnsi="FangSong_GB2312" w:eastAsia="FangSong_GB2312" w:cs="FangSong_GB2312"/>
                <w:color w:val="auto"/>
                <w:kern w:val="0"/>
                <w:sz w:val="24"/>
                <w:lang w:eastAsia="zh-CN" w:bidi="ar"/>
              </w:rPr>
              <w:t>纸质版，</w:t>
            </w:r>
            <w:r>
              <w:rPr>
                <w:rFonts w:hint="eastAsia" w:ascii="FangSong_GB2312" w:hAnsi="FangSong_GB2312" w:eastAsia="FangSong_GB2312" w:cs="FangSong_GB2312"/>
                <w:color w:val="auto"/>
                <w:kern w:val="0"/>
                <w:sz w:val="24"/>
                <w:lang w:val="en-US" w:eastAsia="zh-CN" w:bidi="ar"/>
              </w:rPr>
              <w:t>胶装成册，一正两副，内含目录及页码，密封提交；封面需标注所投项目名称。</w:t>
            </w:r>
          </w:p>
        </w:tc>
      </w:tr>
      <w:tr w14:paraId="176FD30C">
        <w:tblPrEx>
          <w:tblCellMar>
            <w:top w:w="0" w:type="dxa"/>
            <w:left w:w="108" w:type="dxa"/>
            <w:bottom w:w="0" w:type="dxa"/>
            <w:right w:w="108" w:type="dxa"/>
          </w:tblCellMar>
        </w:tblPrEx>
        <w:trPr>
          <w:trHeight w:val="443" w:hRule="atLeast"/>
          <w:jc w:val="center"/>
        </w:trPr>
        <w:tc>
          <w:tcPr>
            <w:tcW w:w="5000" w:type="pct"/>
            <w:tcBorders>
              <w:top w:val="nil"/>
              <w:left w:val="nil"/>
              <w:bottom w:val="nil"/>
              <w:right w:val="nil"/>
            </w:tcBorders>
            <w:vAlign w:val="center"/>
          </w:tcPr>
          <w:p w14:paraId="5F3F8554">
            <w:pPr>
              <w:widowControl/>
              <w:jc w:val="left"/>
              <w:textAlignment w:val="center"/>
              <w:rPr>
                <w:rFonts w:ascii="FangSong_GB2312" w:hAnsi="FangSong_GB2312" w:eastAsia="FangSong_GB2312" w:cs="FangSong_GB2312"/>
                <w:color w:val="000000"/>
                <w:sz w:val="24"/>
              </w:rPr>
            </w:pPr>
            <w:r>
              <w:rPr>
                <w:rFonts w:hint="eastAsia" w:ascii="FangSong_GB2312" w:hAnsi="FangSong_GB2312" w:eastAsia="FangSong_GB2312" w:cs="FangSong_GB2312"/>
                <w:b/>
                <w:bCs/>
                <w:color w:val="000000"/>
                <w:kern w:val="0"/>
                <w:sz w:val="24"/>
                <w:lang w:bidi="ar"/>
              </w:rPr>
              <w:t>五、联系人及联系方式：</w:t>
            </w:r>
            <w:r>
              <w:rPr>
                <w:rFonts w:hint="eastAsia" w:ascii="FangSong_GB2312" w:hAnsi="FangSong_GB2312" w:eastAsia="FangSong_GB2312" w:cs="FangSong_GB2312"/>
                <w:color w:val="000000"/>
                <w:kern w:val="0"/>
                <w:sz w:val="24"/>
                <w:lang w:val="en-US" w:eastAsia="zh-CN" w:bidi="ar"/>
              </w:rPr>
              <w:t>采购办陈老师</w:t>
            </w:r>
            <w:r>
              <w:rPr>
                <w:rFonts w:hint="eastAsia" w:ascii="FangSong_GB2312" w:hAnsi="FangSong_GB2312" w:eastAsia="FangSong_GB2312" w:cs="FangSong_GB2312"/>
                <w:color w:val="000000"/>
                <w:kern w:val="0"/>
                <w:sz w:val="24"/>
                <w:lang w:bidi="ar"/>
              </w:rPr>
              <w:t>，联系电话：0851-27677989</w:t>
            </w:r>
          </w:p>
        </w:tc>
      </w:tr>
    </w:tbl>
    <w:p w14:paraId="7025B5B7">
      <w:pPr>
        <w:rPr>
          <w:rFonts w:hint="eastAsia" w:ascii="仿宋" w:hAnsi="仿宋" w:eastAsia="仿宋"/>
          <w:bCs/>
          <w:sz w:val="28"/>
          <w:szCs w:val="28"/>
          <w:lang w:val="en-US" w:eastAsia="zh-CN"/>
        </w:rPr>
      </w:pPr>
    </w:p>
    <w:p w14:paraId="096B89E1">
      <w:pPr>
        <w:rPr>
          <w:rFonts w:hint="eastAsia" w:ascii="仿宋" w:hAnsi="仿宋" w:eastAsia="仿宋"/>
          <w:bCs/>
          <w:sz w:val="28"/>
          <w:szCs w:val="28"/>
          <w:lang w:val="en-US" w:eastAsia="zh-CN"/>
        </w:rPr>
      </w:pPr>
    </w:p>
    <w:p w14:paraId="55FB9300">
      <w:pPr>
        <w:rPr>
          <w:rFonts w:hint="eastAsia" w:ascii="仿宋" w:hAnsi="仿宋" w:eastAsia="仿宋"/>
          <w:bCs/>
          <w:sz w:val="28"/>
          <w:szCs w:val="28"/>
          <w:lang w:val="en-US" w:eastAsia="zh-CN"/>
        </w:rPr>
      </w:pPr>
    </w:p>
    <w:p w14:paraId="21787E7E">
      <w:pPr>
        <w:rPr>
          <w:rFonts w:hint="eastAsia" w:ascii="仿宋" w:hAnsi="仿宋" w:eastAsia="仿宋"/>
          <w:bCs/>
          <w:sz w:val="28"/>
          <w:szCs w:val="28"/>
          <w:lang w:val="en-US" w:eastAsia="zh-CN"/>
        </w:rPr>
      </w:pPr>
    </w:p>
    <w:p w14:paraId="4A6647B0">
      <w:pPr>
        <w:tabs>
          <w:tab w:val="left" w:pos="5133"/>
        </w:tabs>
        <w:bidi w:val="0"/>
        <w:jc w:val="left"/>
        <w:rPr>
          <w:rFonts w:hint="eastAsia" w:ascii="仿宋" w:hAnsi="仿宋" w:eastAsia="仿宋"/>
          <w:bCs/>
          <w:sz w:val="28"/>
          <w:szCs w:val="28"/>
          <w:lang w:val="en-US" w:eastAsia="zh-CN"/>
        </w:rPr>
      </w:pPr>
      <w:r>
        <w:rPr>
          <w:rFonts w:hint="eastAsia" w:ascii="仿宋" w:hAnsi="仿宋" w:eastAsia="仿宋"/>
          <w:bCs/>
          <w:sz w:val="28"/>
          <w:szCs w:val="28"/>
          <w:lang w:val="en-US" w:eastAsia="zh-CN"/>
        </w:rPr>
        <w:t>附件1：评分表</w:t>
      </w:r>
    </w:p>
    <w:tbl>
      <w:tblPr>
        <w:tblStyle w:val="10"/>
        <w:tblpPr w:leftFromText="180" w:rightFromText="180" w:vertAnchor="text" w:horzAnchor="page" w:tblpXSpec="center" w:tblpY="46"/>
        <w:tblOverlap w:val="never"/>
        <w:tblW w:w="11288" w:type="dxa"/>
        <w:jc w:val="center"/>
        <w:tblLayout w:type="fixed"/>
        <w:tblCellMar>
          <w:top w:w="0" w:type="dxa"/>
          <w:left w:w="108" w:type="dxa"/>
          <w:bottom w:w="0" w:type="dxa"/>
          <w:right w:w="108" w:type="dxa"/>
        </w:tblCellMar>
      </w:tblPr>
      <w:tblGrid>
        <w:gridCol w:w="720"/>
        <w:gridCol w:w="1508"/>
        <w:gridCol w:w="1030"/>
        <w:gridCol w:w="8030"/>
      </w:tblGrid>
      <w:tr w14:paraId="1540158C">
        <w:tblPrEx>
          <w:tblCellMar>
            <w:top w:w="0" w:type="dxa"/>
            <w:left w:w="108" w:type="dxa"/>
            <w:bottom w:w="0" w:type="dxa"/>
            <w:right w:w="108" w:type="dxa"/>
          </w:tblCellMar>
        </w:tblPrEx>
        <w:trPr>
          <w:trHeight w:val="1020" w:hRule="atLeast"/>
          <w:jc w:val="center"/>
        </w:trPr>
        <w:tc>
          <w:tcPr>
            <w:tcW w:w="720"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21117824">
            <w:pPr>
              <w:widowControl/>
              <w:jc w:val="center"/>
              <w:textAlignment w:val="center"/>
              <w:rPr>
                <w:rFonts w:hint="eastAsia" w:ascii="仿宋_GB2312" w:hAnsi="仿宋_GB2312" w:eastAsia="仿宋_GB2312" w:cs="仿宋_GB2312"/>
                <w:b/>
                <w:bCs/>
                <w:color w:val="000000"/>
                <w:sz w:val="24"/>
                <w:szCs w:val="24"/>
                <w:highlight w:val="none"/>
              </w:rPr>
            </w:pPr>
            <w:r>
              <w:rPr>
                <w:rFonts w:hint="eastAsia" w:ascii="仿宋_GB2312" w:hAnsi="仿宋_GB2312" w:eastAsia="仿宋_GB2312" w:cs="仿宋_GB2312"/>
                <w:b/>
                <w:bCs/>
                <w:color w:val="000000"/>
                <w:kern w:val="0"/>
                <w:sz w:val="24"/>
                <w:szCs w:val="24"/>
                <w:highlight w:val="none"/>
                <w:lang w:bidi="ar"/>
              </w:rPr>
              <w:t>序号</w:t>
            </w:r>
          </w:p>
        </w:tc>
        <w:tc>
          <w:tcPr>
            <w:tcW w:w="1508"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5938C32F">
            <w:pPr>
              <w:widowControl/>
              <w:jc w:val="center"/>
              <w:textAlignment w:val="center"/>
              <w:rPr>
                <w:rFonts w:hint="eastAsia" w:ascii="仿宋_GB2312" w:hAnsi="仿宋_GB2312" w:eastAsia="仿宋_GB2312" w:cs="仿宋_GB2312"/>
                <w:b/>
                <w:bCs/>
                <w:color w:val="000000"/>
                <w:sz w:val="24"/>
                <w:szCs w:val="24"/>
                <w:highlight w:val="none"/>
              </w:rPr>
            </w:pPr>
            <w:r>
              <w:rPr>
                <w:rFonts w:hint="eastAsia" w:ascii="仿宋_GB2312" w:hAnsi="仿宋_GB2312" w:eastAsia="仿宋_GB2312" w:cs="仿宋_GB2312"/>
                <w:b/>
                <w:bCs/>
                <w:color w:val="000000"/>
                <w:kern w:val="0"/>
                <w:sz w:val="24"/>
                <w:szCs w:val="24"/>
                <w:highlight w:val="none"/>
                <w:lang w:bidi="ar"/>
              </w:rPr>
              <w:t>评分项目</w:t>
            </w:r>
          </w:p>
        </w:tc>
        <w:tc>
          <w:tcPr>
            <w:tcW w:w="1030" w:type="dxa"/>
            <w:tcBorders>
              <w:top w:val="single" w:color="000000" w:sz="4" w:space="0"/>
              <w:left w:val="single" w:color="000000" w:sz="4" w:space="0"/>
              <w:bottom w:val="single" w:color="000000" w:sz="4" w:space="0"/>
              <w:right w:val="single" w:color="000000" w:sz="4" w:space="0"/>
            </w:tcBorders>
            <w:shd w:val="clear" w:color="auto" w:fill="D7D7D7"/>
            <w:noWrap/>
            <w:vAlign w:val="center"/>
          </w:tcPr>
          <w:p w14:paraId="41FA236A">
            <w:pPr>
              <w:widowControl/>
              <w:jc w:val="center"/>
              <w:textAlignment w:val="center"/>
              <w:rPr>
                <w:rFonts w:hint="eastAsia" w:ascii="仿宋_GB2312" w:hAnsi="仿宋_GB2312" w:eastAsia="仿宋_GB2312" w:cs="仿宋_GB2312"/>
                <w:b/>
                <w:bCs/>
                <w:color w:val="000000"/>
                <w:sz w:val="24"/>
                <w:szCs w:val="24"/>
                <w:highlight w:val="none"/>
              </w:rPr>
            </w:pPr>
            <w:r>
              <w:rPr>
                <w:rFonts w:hint="eastAsia" w:ascii="仿宋_GB2312" w:hAnsi="仿宋_GB2312" w:eastAsia="仿宋_GB2312" w:cs="仿宋_GB2312"/>
                <w:b/>
                <w:bCs/>
                <w:color w:val="000000"/>
                <w:kern w:val="0"/>
                <w:sz w:val="24"/>
                <w:szCs w:val="24"/>
                <w:highlight w:val="none"/>
                <w:lang w:bidi="ar"/>
              </w:rPr>
              <w:t>标准分</w:t>
            </w:r>
          </w:p>
        </w:tc>
        <w:tc>
          <w:tcPr>
            <w:tcW w:w="8030" w:type="dxa"/>
            <w:tcBorders>
              <w:top w:val="single" w:color="000000" w:sz="4" w:space="0"/>
              <w:left w:val="single" w:color="000000" w:sz="4" w:space="0"/>
              <w:bottom w:val="single" w:color="000000" w:sz="4" w:space="0"/>
              <w:right w:val="single" w:color="000000" w:sz="4" w:space="0"/>
            </w:tcBorders>
            <w:shd w:val="clear" w:color="auto" w:fill="D7D7D7"/>
            <w:noWrap w:val="0"/>
            <w:vAlign w:val="center"/>
          </w:tcPr>
          <w:p w14:paraId="313B321B">
            <w:pPr>
              <w:widowControl/>
              <w:jc w:val="center"/>
              <w:textAlignment w:val="center"/>
              <w:rPr>
                <w:rFonts w:hint="eastAsia" w:ascii="仿宋_GB2312" w:hAnsi="仿宋_GB2312" w:eastAsia="仿宋_GB2312" w:cs="仿宋_GB2312"/>
                <w:b/>
                <w:bCs/>
                <w:color w:val="000000"/>
                <w:sz w:val="24"/>
                <w:szCs w:val="24"/>
                <w:highlight w:val="none"/>
                <w:lang w:val="en-US" w:eastAsia="zh-CN"/>
              </w:rPr>
            </w:pPr>
            <w:r>
              <w:rPr>
                <w:rFonts w:hint="eastAsia" w:ascii="仿宋_GB2312" w:hAnsi="仿宋_GB2312" w:eastAsia="仿宋_GB2312" w:cs="仿宋_GB2312"/>
                <w:b/>
                <w:bCs/>
                <w:color w:val="000000"/>
                <w:kern w:val="0"/>
                <w:sz w:val="24"/>
                <w:szCs w:val="24"/>
                <w:highlight w:val="none"/>
                <w:lang w:val="en-US" w:eastAsia="zh-CN" w:bidi="ar"/>
              </w:rPr>
              <w:t>评分标准</w:t>
            </w:r>
          </w:p>
        </w:tc>
      </w:tr>
      <w:tr w14:paraId="4BCF0F45">
        <w:tblPrEx>
          <w:tblCellMar>
            <w:top w:w="0" w:type="dxa"/>
            <w:left w:w="108" w:type="dxa"/>
            <w:bottom w:w="0" w:type="dxa"/>
            <w:right w:w="108" w:type="dxa"/>
          </w:tblCellMar>
        </w:tblPrEx>
        <w:trPr>
          <w:trHeight w:val="1128"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11D80C54">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1</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50D8AD36">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投标报价</w:t>
            </w:r>
          </w:p>
        </w:tc>
        <w:tc>
          <w:tcPr>
            <w:tcW w:w="1030" w:type="dxa"/>
            <w:tcBorders>
              <w:top w:val="single" w:color="000000" w:sz="4" w:space="0"/>
              <w:left w:val="single" w:color="000000" w:sz="4" w:space="0"/>
              <w:bottom w:val="single" w:color="000000" w:sz="4" w:space="0"/>
              <w:right w:val="single" w:color="000000" w:sz="4" w:space="0"/>
            </w:tcBorders>
            <w:noWrap/>
            <w:vAlign w:val="center"/>
          </w:tcPr>
          <w:p w14:paraId="3B7DE1BF">
            <w:pPr>
              <w:keepNext w:val="0"/>
              <w:keepLines w:val="0"/>
              <w:pageBreakBefore w:val="0"/>
              <w:kinsoku/>
              <w:overflowPunct/>
              <w:topLinePunct w:val="0"/>
              <w:autoSpaceDE/>
              <w:autoSpaceDN/>
              <w:bidi w:val="0"/>
              <w:adjustRightInd/>
              <w:snapToGrid/>
              <w:spacing w:after="200" w:line="360" w:lineRule="auto"/>
              <w:jc w:val="center"/>
              <w:rPr>
                <w:rFonts w:hint="default"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20</w:t>
            </w:r>
          </w:p>
        </w:tc>
        <w:tc>
          <w:tcPr>
            <w:tcW w:w="8030" w:type="dxa"/>
            <w:tcBorders>
              <w:top w:val="single" w:color="000000" w:sz="4" w:space="0"/>
              <w:left w:val="single" w:color="000000" w:sz="4" w:space="0"/>
              <w:bottom w:val="single" w:color="000000" w:sz="4" w:space="0"/>
              <w:right w:val="single" w:color="000000" w:sz="4" w:space="0"/>
            </w:tcBorders>
            <w:noWrap/>
            <w:vAlign w:val="center"/>
          </w:tcPr>
          <w:p w14:paraId="5D5CB1CC">
            <w:pPr>
              <w:keepNext w:val="0"/>
              <w:keepLines w:val="0"/>
              <w:pageBreakBefore w:val="0"/>
              <w:kinsoku/>
              <w:overflowPunct/>
              <w:topLinePunct w:val="0"/>
              <w:autoSpaceDE/>
              <w:autoSpaceDN/>
              <w:bidi w:val="0"/>
              <w:adjustRightInd/>
              <w:snapToGrid/>
              <w:spacing w:after="200" w:line="360" w:lineRule="auto"/>
              <w:jc w:val="left"/>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投标报价满分20分。报价最低得满分20分，按报价高低依次递减2分</w:t>
            </w:r>
            <w:bookmarkStart w:id="0" w:name="_GoBack"/>
            <w:bookmarkEnd w:id="0"/>
            <w:r>
              <w:rPr>
                <w:rFonts w:hint="eastAsia" w:ascii="仿宋_GB2312" w:hAnsi="仿宋_GB2312" w:eastAsia="仿宋_GB2312" w:cs="仿宋_GB2312"/>
                <w:color w:val="000000"/>
                <w:spacing w:val="-4"/>
                <w:sz w:val="22"/>
                <w:szCs w:val="22"/>
                <w:lang w:val="en-US" w:eastAsia="zh-CN"/>
              </w:rPr>
              <w:t>。</w:t>
            </w:r>
          </w:p>
        </w:tc>
      </w:tr>
      <w:tr w14:paraId="6B5C7526">
        <w:tblPrEx>
          <w:tblCellMar>
            <w:top w:w="0" w:type="dxa"/>
            <w:left w:w="108" w:type="dxa"/>
            <w:bottom w:w="0" w:type="dxa"/>
            <w:right w:w="108" w:type="dxa"/>
          </w:tblCellMar>
        </w:tblPrEx>
        <w:trPr>
          <w:trHeight w:val="864"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7ADCE215">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2</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7F940904">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技术方案</w:t>
            </w:r>
          </w:p>
        </w:tc>
        <w:tc>
          <w:tcPr>
            <w:tcW w:w="1030" w:type="dxa"/>
            <w:tcBorders>
              <w:top w:val="single" w:color="000000" w:sz="4" w:space="0"/>
              <w:left w:val="single" w:color="000000" w:sz="4" w:space="0"/>
              <w:bottom w:val="single" w:color="000000" w:sz="4" w:space="0"/>
              <w:right w:val="single" w:color="000000" w:sz="4" w:space="0"/>
            </w:tcBorders>
            <w:noWrap/>
            <w:vAlign w:val="center"/>
          </w:tcPr>
          <w:p w14:paraId="7834A549">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30</w:t>
            </w:r>
          </w:p>
        </w:tc>
        <w:tc>
          <w:tcPr>
            <w:tcW w:w="8030" w:type="dxa"/>
            <w:tcBorders>
              <w:top w:val="single" w:color="000000" w:sz="4" w:space="0"/>
              <w:left w:val="single" w:color="000000" w:sz="4" w:space="0"/>
              <w:bottom w:val="single" w:color="000000" w:sz="4" w:space="0"/>
              <w:right w:val="single" w:color="000000" w:sz="4" w:space="0"/>
            </w:tcBorders>
            <w:noWrap/>
            <w:vAlign w:val="top"/>
          </w:tcPr>
          <w:p w14:paraId="517CEB1B">
            <w:pPr>
              <w:numPr>
                <w:ilvl w:val="0"/>
                <w:numId w:val="1"/>
              </w:numPr>
              <w:spacing w:line="360" w:lineRule="exact"/>
              <w:ind w:left="0" w:leftChars="0" w:firstLine="0" w:firstLineChars="0"/>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lang w:val="en-US" w:eastAsia="zh-CN"/>
              </w:rPr>
              <w:t>1</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第一档次（</w:t>
            </w:r>
            <w:r>
              <w:rPr>
                <w:rFonts w:hint="eastAsia" w:ascii="仿宋_GB2312" w:hAnsi="仿宋_GB2312" w:eastAsia="仿宋_GB2312" w:cs="仿宋_GB2312"/>
                <w:sz w:val="22"/>
                <w:szCs w:val="22"/>
                <w:lang w:val="en-US" w:eastAsia="zh-CN"/>
              </w:rPr>
              <w:t>12-15</w:t>
            </w:r>
            <w:r>
              <w:rPr>
                <w:rFonts w:hint="eastAsia" w:ascii="仿宋_GB2312" w:hAnsi="仿宋_GB2312" w:eastAsia="仿宋_GB2312" w:cs="仿宋_GB2312"/>
                <w:sz w:val="22"/>
                <w:szCs w:val="22"/>
              </w:rPr>
              <w:t>分）：服务方案整体编制科学合理、重点突出，针对性强，完全满足采购人实际需求，测评服务方案、售后服务方案、风险把控、保密措施具体完整。</w:t>
            </w:r>
          </w:p>
          <w:p w14:paraId="095A02F0">
            <w:pPr>
              <w:numPr>
                <w:ilvl w:val="0"/>
                <w:numId w:val="0"/>
              </w:numPr>
              <w:spacing w:line="360" w:lineRule="exact"/>
              <w:ind w:leftChars="0"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lang w:val="en-US" w:eastAsia="zh-CN"/>
              </w:rPr>
              <w:t>2</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第二档次（</w:t>
            </w:r>
            <w:r>
              <w:rPr>
                <w:rFonts w:hint="eastAsia" w:ascii="仿宋_GB2312" w:hAnsi="仿宋_GB2312" w:eastAsia="仿宋_GB2312" w:cs="仿宋_GB2312"/>
                <w:sz w:val="22"/>
                <w:szCs w:val="22"/>
                <w:lang w:val="en-US" w:eastAsia="zh-CN"/>
              </w:rPr>
              <w:t>8</w:t>
            </w:r>
            <w:r>
              <w:rPr>
                <w:rFonts w:hint="eastAsia" w:ascii="仿宋_GB2312" w:hAnsi="仿宋_GB2312" w:eastAsia="仿宋_GB2312" w:cs="仿宋_GB2312"/>
                <w:sz w:val="22"/>
                <w:szCs w:val="22"/>
              </w:rPr>
              <w:t>-</w:t>
            </w:r>
            <w:r>
              <w:rPr>
                <w:rFonts w:hint="eastAsia" w:ascii="仿宋_GB2312" w:hAnsi="仿宋_GB2312" w:eastAsia="仿宋_GB2312" w:cs="仿宋_GB2312"/>
                <w:sz w:val="22"/>
                <w:szCs w:val="22"/>
                <w:lang w:val="en-US" w:eastAsia="zh-CN"/>
              </w:rPr>
              <w:t>11</w:t>
            </w:r>
            <w:r>
              <w:rPr>
                <w:rFonts w:hint="eastAsia" w:ascii="仿宋_GB2312" w:hAnsi="仿宋_GB2312" w:eastAsia="仿宋_GB2312" w:cs="仿宋_GB2312"/>
                <w:sz w:val="22"/>
                <w:szCs w:val="22"/>
              </w:rPr>
              <w:t>分）：服务方案整体编制合理，有侧重点，有一定针对性，基本满足采购人实际需求；测评服务方案、售后服务方案、风险把控、保密措施合理。</w:t>
            </w:r>
          </w:p>
          <w:p w14:paraId="6FA9D3A4">
            <w:pPr>
              <w:numPr>
                <w:ilvl w:val="0"/>
                <w:numId w:val="0"/>
              </w:numPr>
              <w:spacing w:line="360" w:lineRule="exact"/>
              <w:ind w:leftChars="0" w:firstLine="220" w:firstLineChars="100"/>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lang w:val="en-US" w:eastAsia="zh-CN"/>
              </w:rPr>
              <w:t>3</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第三档次（</w:t>
            </w:r>
            <w:r>
              <w:rPr>
                <w:rFonts w:hint="eastAsia" w:ascii="仿宋_GB2312" w:hAnsi="仿宋_GB2312" w:eastAsia="仿宋_GB2312" w:cs="仿宋_GB2312"/>
                <w:sz w:val="22"/>
                <w:szCs w:val="22"/>
                <w:lang w:val="en-US" w:eastAsia="zh-CN"/>
              </w:rPr>
              <w:t>4</w:t>
            </w:r>
            <w:r>
              <w:rPr>
                <w:rFonts w:hint="eastAsia" w:ascii="仿宋_GB2312" w:hAnsi="仿宋_GB2312" w:eastAsia="仿宋_GB2312" w:cs="仿宋_GB2312"/>
                <w:sz w:val="22"/>
                <w:szCs w:val="22"/>
              </w:rPr>
              <w:t>-</w:t>
            </w:r>
            <w:r>
              <w:rPr>
                <w:rFonts w:hint="eastAsia" w:ascii="仿宋_GB2312" w:hAnsi="仿宋_GB2312" w:eastAsia="仿宋_GB2312" w:cs="仿宋_GB2312"/>
                <w:sz w:val="22"/>
                <w:szCs w:val="22"/>
                <w:lang w:val="en-US" w:eastAsia="zh-CN"/>
              </w:rPr>
              <w:t>7</w:t>
            </w:r>
            <w:r>
              <w:rPr>
                <w:rFonts w:hint="eastAsia" w:ascii="仿宋_GB2312" w:hAnsi="仿宋_GB2312" w:eastAsia="仿宋_GB2312" w:cs="仿宋_GB2312"/>
                <w:sz w:val="22"/>
                <w:szCs w:val="22"/>
              </w:rPr>
              <w:t>分）：服务方案整体编制基本合理，有侧重点，有一定针对性，基本满足采购人实际需求；测评服务方案、售后服务方案、风险把控、保密措施基本合理。</w:t>
            </w:r>
          </w:p>
          <w:p w14:paraId="284D233A">
            <w:pPr>
              <w:numPr>
                <w:ilvl w:val="0"/>
                <w:numId w:val="0"/>
              </w:numPr>
              <w:ind w:leftChars="0" w:firstLine="220" w:firstLineChars="100"/>
              <w:jc w:val="both"/>
              <w:rPr>
                <w:rFonts w:hint="eastAsia" w:ascii="仿宋_GB2312" w:hAnsi="仿宋_GB2312" w:eastAsia="仿宋_GB2312" w:cs="仿宋_GB2312"/>
                <w:color w:val="auto"/>
                <w:sz w:val="22"/>
                <w:szCs w:val="22"/>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lang w:val="en-US" w:eastAsia="zh-CN"/>
              </w:rPr>
              <w:t>4</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第四档次（0-</w:t>
            </w:r>
            <w:r>
              <w:rPr>
                <w:rFonts w:hint="eastAsia" w:ascii="仿宋_GB2312" w:hAnsi="仿宋_GB2312" w:eastAsia="仿宋_GB2312" w:cs="仿宋_GB2312"/>
                <w:sz w:val="22"/>
                <w:szCs w:val="22"/>
                <w:lang w:val="en-US" w:eastAsia="zh-CN"/>
              </w:rPr>
              <w:t>3</w:t>
            </w:r>
            <w:r>
              <w:rPr>
                <w:rFonts w:hint="eastAsia" w:ascii="仿宋_GB2312" w:hAnsi="仿宋_GB2312" w:eastAsia="仿宋_GB2312" w:cs="仿宋_GB2312"/>
                <w:sz w:val="22"/>
                <w:szCs w:val="22"/>
              </w:rPr>
              <w:t>分）：服务方案编制粗糙、杂乱、未突</w:t>
            </w:r>
            <w:r>
              <w:rPr>
                <w:rFonts w:hint="eastAsia" w:ascii="仿宋_GB2312" w:hAnsi="仿宋_GB2312" w:eastAsia="仿宋_GB2312" w:cs="仿宋_GB2312"/>
                <w:color w:val="auto"/>
                <w:sz w:val="22"/>
                <w:szCs w:val="22"/>
              </w:rPr>
              <w:t>出重点，针对性差，无法满足采购人实际需求；</w:t>
            </w:r>
          </w:p>
          <w:p w14:paraId="59C0D736">
            <w:pPr>
              <w:numPr>
                <w:ilvl w:val="0"/>
                <w:numId w:val="1"/>
              </w:numPr>
              <w:spacing w:line="360" w:lineRule="exact"/>
              <w:ind w:left="0" w:leftChars="0" w:firstLine="0" w:firstLineChars="0"/>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rPr>
              <w:t>在项目实施过程中，应答人应具有自主知识产权且满足项目实施要求的检测工具（出示软件著作权）：</w:t>
            </w:r>
          </w:p>
          <w:p w14:paraId="02D3E2B4">
            <w:pPr>
              <w:numPr>
                <w:ilvl w:val="0"/>
                <w:numId w:val="0"/>
              </w:numPr>
              <w:ind w:leftChars="0" w:firstLine="220" w:firstLineChars="100"/>
              <w:jc w:val="both"/>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lang w:val="en-US" w:eastAsia="zh-CN"/>
              </w:rPr>
              <w:t>1</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rPr>
              <w:t>提供</w:t>
            </w:r>
            <w:r>
              <w:rPr>
                <w:rFonts w:hint="eastAsia" w:ascii="仿宋_GB2312" w:hAnsi="仿宋_GB2312" w:eastAsia="仿宋_GB2312" w:cs="仿宋_GB2312"/>
                <w:color w:val="auto"/>
                <w:sz w:val="22"/>
                <w:szCs w:val="22"/>
                <w:lang w:val="en-US" w:eastAsia="zh-CN"/>
              </w:rPr>
              <w:t>5项</w:t>
            </w:r>
            <w:r>
              <w:rPr>
                <w:rFonts w:hint="eastAsia" w:ascii="仿宋_GB2312" w:hAnsi="仿宋_GB2312" w:eastAsia="仿宋_GB2312" w:cs="仿宋_GB2312"/>
                <w:color w:val="auto"/>
                <w:sz w:val="22"/>
                <w:szCs w:val="22"/>
              </w:rPr>
              <w:t>测评测试工具以上，得1</w:t>
            </w:r>
            <w:r>
              <w:rPr>
                <w:rFonts w:hint="eastAsia" w:ascii="仿宋_GB2312" w:hAnsi="仿宋_GB2312" w:eastAsia="仿宋_GB2312" w:cs="仿宋_GB2312"/>
                <w:color w:val="auto"/>
                <w:sz w:val="22"/>
                <w:szCs w:val="22"/>
                <w:lang w:val="en-US" w:eastAsia="zh-CN"/>
              </w:rPr>
              <w:t>5</w:t>
            </w:r>
            <w:r>
              <w:rPr>
                <w:rFonts w:hint="eastAsia" w:ascii="仿宋_GB2312" w:hAnsi="仿宋_GB2312" w:eastAsia="仿宋_GB2312" w:cs="仿宋_GB2312"/>
                <w:color w:val="auto"/>
                <w:sz w:val="22"/>
                <w:szCs w:val="22"/>
              </w:rPr>
              <w:t>分；</w:t>
            </w:r>
          </w:p>
          <w:p w14:paraId="215C84CA">
            <w:pPr>
              <w:numPr>
                <w:ilvl w:val="0"/>
                <w:numId w:val="0"/>
              </w:numPr>
              <w:ind w:leftChars="0" w:firstLine="220" w:firstLineChars="100"/>
              <w:jc w:val="both"/>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lang w:val="en-US" w:eastAsia="zh-CN"/>
              </w:rPr>
              <w:t>2</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rPr>
              <w:t>提供</w:t>
            </w:r>
            <w:r>
              <w:rPr>
                <w:rFonts w:hint="eastAsia" w:ascii="仿宋_GB2312" w:hAnsi="仿宋_GB2312" w:eastAsia="仿宋_GB2312" w:cs="仿宋_GB2312"/>
                <w:color w:val="auto"/>
                <w:sz w:val="22"/>
                <w:szCs w:val="22"/>
                <w:lang w:val="en-US" w:eastAsia="zh-CN"/>
              </w:rPr>
              <w:t>3-4项</w:t>
            </w:r>
            <w:r>
              <w:rPr>
                <w:rFonts w:hint="eastAsia" w:ascii="仿宋_GB2312" w:hAnsi="仿宋_GB2312" w:eastAsia="仿宋_GB2312" w:cs="仿宋_GB2312"/>
                <w:color w:val="auto"/>
                <w:sz w:val="22"/>
                <w:szCs w:val="22"/>
              </w:rPr>
              <w:t>测评测试工具，得</w:t>
            </w:r>
            <w:r>
              <w:rPr>
                <w:rFonts w:hint="eastAsia" w:ascii="仿宋_GB2312" w:hAnsi="仿宋_GB2312" w:eastAsia="仿宋_GB2312" w:cs="仿宋_GB2312"/>
                <w:color w:val="auto"/>
                <w:sz w:val="22"/>
                <w:szCs w:val="22"/>
                <w:lang w:val="en-US" w:eastAsia="zh-CN"/>
              </w:rPr>
              <w:t>9</w:t>
            </w:r>
            <w:r>
              <w:rPr>
                <w:rFonts w:hint="eastAsia" w:ascii="仿宋_GB2312" w:hAnsi="仿宋_GB2312" w:eastAsia="仿宋_GB2312" w:cs="仿宋_GB2312"/>
                <w:color w:val="auto"/>
                <w:sz w:val="22"/>
                <w:szCs w:val="22"/>
              </w:rPr>
              <w:t>分；</w:t>
            </w:r>
          </w:p>
          <w:p w14:paraId="7AF182EF">
            <w:pPr>
              <w:numPr>
                <w:ilvl w:val="0"/>
                <w:numId w:val="0"/>
              </w:numPr>
              <w:ind w:leftChars="0" w:firstLine="220" w:firstLineChars="100"/>
              <w:jc w:val="both"/>
              <w:rPr>
                <w:rFonts w:hint="eastAsia" w:ascii="仿宋_GB2312" w:hAnsi="仿宋_GB2312" w:eastAsia="仿宋_GB2312" w:cs="仿宋_GB2312"/>
                <w:color w:val="auto"/>
                <w:sz w:val="22"/>
                <w:szCs w:val="22"/>
              </w:rPr>
            </w:pP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lang w:val="en-US" w:eastAsia="zh-CN"/>
              </w:rPr>
              <w:t>3</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rPr>
              <w:t>提供</w:t>
            </w:r>
            <w:r>
              <w:rPr>
                <w:rFonts w:hint="eastAsia" w:ascii="仿宋_GB2312" w:hAnsi="仿宋_GB2312" w:eastAsia="仿宋_GB2312" w:cs="仿宋_GB2312"/>
                <w:color w:val="auto"/>
                <w:sz w:val="22"/>
                <w:szCs w:val="22"/>
                <w:lang w:val="en-US" w:eastAsia="zh-CN"/>
              </w:rPr>
              <w:t>1-2项</w:t>
            </w:r>
            <w:r>
              <w:rPr>
                <w:rFonts w:hint="eastAsia" w:ascii="仿宋_GB2312" w:hAnsi="仿宋_GB2312" w:eastAsia="仿宋_GB2312" w:cs="仿宋_GB2312"/>
                <w:color w:val="auto"/>
                <w:sz w:val="22"/>
                <w:szCs w:val="22"/>
              </w:rPr>
              <w:t>测评测试工具，得</w:t>
            </w:r>
            <w:r>
              <w:rPr>
                <w:rFonts w:hint="eastAsia" w:ascii="仿宋_GB2312" w:hAnsi="仿宋_GB2312" w:eastAsia="仿宋_GB2312" w:cs="仿宋_GB2312"/>
                <w:color w:val="auto"/>
                <w:sz w:val="22"/>
                <w:szCs w:val="22"/>
                <w:lang w:val="en-US" w:eastAsia="zh-CN"/>
              </w:rPr>
              <w:t>3</w:t>
            </w:r>
            <w:r>
              <w:rPr>
                <w:rFonts w:hint="eastAsia" w:ascii="仿宋_GB2312" w:hAnsi="仿宋_GB2312" w:eastAsia="仿宋_GB2312" w:cs="仿宋_GB2312"/>
                <w:color w:val="auto"/>
                <w:sz w:val="22"/>
                <w:szCs w:val="22"/>
              </w:rPr>
              <w:t>分；</w:t>
            </w:r>
          </w:p>
          <w:p w14:paraId="1F5BC9CC">
            <w:pPr>
              <w:numPr>
                <w:ilvl w:val="0"/>
                <w:numId w:val="0"/>
              </w:numPr>
              <w:ind w:leftChars="0" w:firstLine="220" w:firstLineChars="100"/>
              <w:jc w:val="both"/>
              <w:rPr>
                <w:rFonts w:hint="eastAsia" w:ascii="宋体" w:hAnsi="宋体" w:eastAsia="仿宋_GB2312" w:cs="仿宋_GB2312"/>
                <w:szCs w:val="21"/>
                <w:lang w:val="en-US" w:eastAsia="zh-CN"/>
              </w:rPr>
            </w:pP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lang w:val="en-US" w:eastAsia="zh-CN"/>
              </w:rPr>
              <w:t>4</w:t>
            </w:r>
            <w:r>
              <w:rPr>
                <w:rFonts w:hint="eastAsia" w:ascii="仿宋_GB2312" w:hAnsi="仿宋_GB2312" w:eastAsia="仿宋_GB2312" w:cs="仿宋_GB2312"/>
                <w:color w:val="auto"/>
                <w:sz w:val="22"/>
                <w:szCs w:val="22"/>
                <w:lang w:eastAsia="zh-CN"/>
              </w:rPr>
              <w:t>）</w:t>
            </w:r>
            <w:r>
              <w:rPr>
                <w:rFonts w:hint="eastAsia" w:ascii="仿宋_GB2312" w:hAnsi="仿宋_GB2312" w:eastAsia="仿宋_GB2312" w:cs="仿宋_GB2312"/>
                <w:color w:val="auto"/>
                <w:sz w:val="22"/>
                <w:szCs w:val="22"/>
              </w:rPr>
              <w:t>未提供不得分</w:t>
            </w:r>
            <w:r>
              <w:rPr>
                <w:rFonts w:hint="eastAsia" w:ascii="仿宋_GB2312" w:hAnsi="仿宋_GB2312" w:eastAsia="仿宋_GB2312" w:cs="仿宋_GB2312"/>
                <w:color w:val="auto"/>
                <w:sz w:val="22"/>
                <w:szCs w:val="22"/>
                <w:lang w:eastAsia="zh-CN"/>
              </w:rPr>
              <w:t>。</w:t>
            </w:r>
          </w:p>
        </w:tc>
      </w:tr>
      <w:tr w14:paraId="3E5FD77E">
        <w:tblPrEx>
          <w:tblCellMar>
            <w:top w:w="0" w:type="dxa"/>
            <w:left w:w="108" w:type="dxa"/>
            <w:bottom w:w="0" w:type="dxa"/>
            <w:right w:w="108" w:type="dxa"/>
          </w:tblCellMar>
        </w:tblPrEx>
        <w:trPr>
          <w:trHeight w:val="864"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5A7DD918">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3</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39A20CE7">
            <w:pPr>
              <w:keepNext w:val="0"/>
              <w:keepLines w:val="0"/>
              <w:pageBreakBefore w:val="0"/>
              <w:kinsoku/>
              <w:overflowPunct/>
              <w:topLinePunct w:val="0"/>
              <w:autoSpaceDE/>
              <w:autoSpaceDN/>
              <w:bidi w:val="0"/>
              <w:adjustRightInd/>
              <w:snapToGrid/>
              <w:spacing w:after="200" w:line="360" w:lineRule="auto"/>
              <w:jc w:val="center"/>
              <w:rPr>
                <w:rFonts w:hint="default"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供应商资质</w:t>
            </w:r>
          </w:p>
        </w:tc>
        <w:tc>
          <w:tcPr>
            <w:tcW w:w="1030" w:type="dxa"/>
            <w:tcBorders>
              <w:top w:val="single" w:color="000000" w:sz="4" w:space="0"/>
              <w:left w:val="single" w:color="000000" w:sz="4" w:space="0"/>
              <w:bottom w:val="single" w:color="000000" w:sz="4" w:space="0"/>
              <w:right w:val="single" w:color="000000" w:sz="4" w:space="0"/>
            </w:tcBorders>
            <w:noWrap/>
            <w:vAlign w:val="center"/>
          </w:tcPr>
          <w:p w14:paraId="0979E5C8">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30</w:t>
            </w:r>
          </w:p>
        </w:tc>
        <w:tc>
          <w:tcPr>
            <w:tcW w:w="8030" w:type="dxa"/>
            <w:tcBorders>
              <w:top w:val="single" w:color="000000" w:sz="4" w:space="0"/>
              <w:left w:val="single" w:color="000000" w:sz="4" w:space="0"/>
              <w:bottom w:val="single" w:color="000000" w:sz="4" w:space="0"/>
              <w:right w:val="single" w:color="000000" w:sz="4" w:space="0"/>
            </w:tcBorders>
            <w:noWrap/>
            <w:vAlign w:val="top"/>
          </w:tcPr>
          <w:p w14:paraId="2E2A5D57">
            <w:pPr>
              <w:numPr>
                <w:ilvl w:val="0"/>
                <w:numId w:val="2"/>
              </w:numPr>
              <w:spacing w:line="360" w:lineRule="exact"/>
              <w:ind w:left="0" w:leftChars="0" w:firstLine="0" w:firstLineChars="0"/>
              <w:rPr>
                <w:rFonts w:ascii="宋体" w:hAnsi="宋体" w:cs="宋体"/>
                <w:kern w:val="0"/>
                <w:sz w:val="24"/>
                <w:szCs w:val="24"/>
              </w:rPr>
            </w:pPr>
            <w:r>
              <w:rPr>
                <w:rFonts w:hint="eastAsia" w:ascii="仿宋_GB2312" w:hAnsi="仿宋_GB2312" w:eastAsia="仿宋_GB2312" w:cs="仿宋_GB2312"/>
                <w:sz w:val="22"/>
                <w:szCs w:val="22"/>
              </w:rPr>
              <w:t>具备</w:t>
            </w:r>
            <w:r>
              <w:rPr>
                <w:rFonts w:hint="eastAsia" w:ascii="仿宋_GB2312" w:hAnsi="仿宋_GB2312" w:eastAsia="仿宋_GB2312" w:cs="仿宋_GB2312"/>
                <w:sz w:val="22"/>
                <w:szCs w:val="22"/>
                <w:lang w:val="zh-CN"/>
              </w:rPr>
              <w:t>网络安全等级测评与检测评估机构服务认证证书，并在“中国网络安全等级保护网”全国网络安全等级测评与检测评估机构目录中，且近五年未被行业主管部门处罚、暂停业务等，得</w:t>
            </w:r>
            <w:r>
              <w:rPr>
                <w:rFonts w:hint="eastAsia" w:ascii="仿宋_GB2312" w:hAnsi="仿宋_GB2312" w:eastAsia="仿宋_GB2312" w:cs="仿宋_GB2312"/>
                <w:sz w:val="22"/>
                <w:szCs w:val="22"/>
                <w:lang w:val="en-US" w:eastAsia="zh-CN"/>
              </w:rPr>
              <w:t>5</w:t>
            </w:r>
            <w:r>
              <w:rPr>
                <w:rFonts w:hint="eastAsia" w:ascii="仿宋_GB2312" w:hAnsi="仿宋_GB2312" w:eastAsia="仿宋_GB2312" w:cs="仿宋_GB2312"/>
                <w:sz w:val="22"/>
                <w:szCs w:val="22"/>
                <w:lang w:val="zh-CN"/>
              </w:rPr>
              <w:t>分；</w:t>
            </w:r>
          </w:p>
          <w:p w14:paraId="6162D9D6">
            <w:pPr>
              <w:numPr>
                <w:ilvl w:val="0"/>
                <w:numId w:val="2"/>
              </w:numPr>
              <w:spacing w:line="360" w:lineRule="exact"/>
              <w:ind w:left="0" w:leftChars="0" w:firstLine="0" w:firstLineChars="0"/>
              <w:rPr>
                <w:rFonts w:hint="eastAsia" w:ascii="宋体" w:hAnsi="宋体" w:cs="宋体"/>
                <w:kern w:val="0"/>
                <w:sz w:val="24"/>
                <w:szCs w:val="24"/>
              </w:rPr>
            </w:pPr>
            <w:r>
              <w:rPr>
                <w:rFonts w:hint="eastAsia" w:ascii="仿宋_GB2312" w:hAnsi="仿宋_GB2312" w:eastAsia="仿宋_GB2312" w:cs="仿宋_GB2312"/>
                <w:sz w:val="22"/>
                <w:szCs w:val="22"/>
              </w:rPr>
              <w:t>具有中国合格评定国家认可委员会颁发的检验机构认可证书CNAS</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得</w:t>
            </w:r>
            <w:r>
              <w:rPr>
                <w:rFonts w:hint="eastAsia" w:ascii="仿宋_GB2312" w:hAnsi="仿宋_GB2312" w:eastAsia="仿宋_GB2312" w:cs="仿宋_GB2312"/>
                <w:sz w:val="22"/>
                <w:szCs w:val="22"/>
                <w:lang w:val="en-US" w:eastAsia="zh-CN"/>
              </w:rPr>
              <w:t>4</w:t>
            </w:r>
            <w:r>
              <w:rPr>
                <w:rFonts w:hint="eastAsia" w:ascii="仿宋_GB2312" w:hAnsi="仿宋_GB2312" w:eastAsia="仿宋_GB2312" w:cs="仿宋_GB2312"/>
                <w:sz w:val="22"/>
                <w:szCs w:val="22"/>
              </w:rPr>
              <w:t>分；</w:t>
            </w:r>
          </w:p>
          <w:p w14:paraId="656F1A53">
            <w:pPr>
              <w:numPr>
                <w:ilvl w:val="0"/>
                <w:numId w:val="2"/>
              </w:numPr>
              <w:spacing w:line="360" w:lineRule="exact"/>
              <w:ind w:left="0" w:leftChars="0" w:firstLine="0" w:firstLineChars="0"/>
              <w:rPr>
                <w:rFonts w:ascii="宋体" w:hAnsi="宋体" w:cs="宋体"/>
                <w:kern w:val="0"/>
                <w:sz w:val="24"/>
                <w:szCs w:val="24"/>
              </w:rPr>
            </w:pPr>
            <w:r>
              <w:rPr>
                <w:rFonts w:hint="eastAsia" w:ascii="仿宋_GB2312" w:hAnsi="仿宋_GB2312" w:eastAsia="仿宋_GB2312" w:cs="仿宋_GB2312"/>
                <w:sz w:val="22"/>
                <w:szCs w:val="22"/>
              </w:rPr>
              <w:t>投标人在《商用密码应用安全性评估试点机构目录》（国家密码管理 局第42号公告）中，得</w:t>
            </w:r>
            <w:r>
              <w:rPr>
                <w:rFonts w:hint="eastAsia" w:ascii="仿宋_GB2312" w:hAnsi="仿宋_GB2312" w:eastAsia="仿宋_GB2312" w:cs="仿宋_GB2312"/>
                <w:sz w:val="22"/>
                <w:szCs w:val="22"/>
                <w:lang w:val="en-US" w:eastAsia="zh-CN"/>
              </w:rPr>
              <w:t>4</w:t>
            </w:r>
            <w:r>
              <w:rPr>
                <w:rFonts w:hint="eastAsia" w:ascii="仿宋_GB2312" w:hAnsi="仿宋_GB2312" w:eastAsia="仿宋_GB2312" w:cs="仿宋_GB2312"/>
                <w:sz w:val="22"/>
                <w:szCs w:val="22"/>
              </w:rPr>
              <w:t>分；</w:t>
            </w:r>
          </w:p>
          <w:p w14:paraId="06652E44">
            <w:pPr>
              <w:numPr>
                <w:ilvl w:val="0"/>
                <w:numId w:val="2"/>
              </w:numPr>
              <w:spacing w:line="360" w:lineRule="exact"/>
              <w:ind w:left="0" w:leftChars="0" w:firstLine="0" w:firstLineChars="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具备检验检测机构-资质认定证书（CMA）证书，得</w:t>
            </w:r>
            <w:r>
              <w:rPr>
                <w:rFonts w:hint="eastAsia" w:ascii="仿宋_GB2312" w:hAnsi="仿宋_GB2312" w:eastAsia="仿宋_GB2312" w:cs="仿宋_GB2312"/>
                <w:sz w:val="22"/>
                <w:szCs w:val="22"/>
                <w:lang w:val="en-US" w:eastAsia="zh-CN"/>
              </w:rPr>
              <w:t>4</w:t>
            </w:r>
            <w:r>
              <w:rPr>
                <w:rFonts w:hint="eastAsia" w:ascii="仿宋_GB2312" w:hAnsi="仿宋_GB2312" w:eastAsia="仿宋_GB2312" w:cs="仿宋_GB2312"/>
                <w:sz w:val="22"/>
                <w:szCs w:val="22"/>
              </w:rPr>
              <w:t>分</w:t>
            </w:r>
            <w:r>
              <w:rPr>
                <w:rFonts w:hint="eastAsia" w:ascii="仿宋_GB2312" w:hAnsi="仿宋_GB2312" w:eastAsia="仿宋_GB2312" w:cs="仿宋_GB2312"/>
                <w:sz w:val="22"/>
                <w:szCs w:val="22"/>
                <w:lang w:eastAsia="zh-CN"/>
              </w:rPr>
              <w:t>；</w:t>
            </w:r>
          </w:p>
          <w:p w14:paraId="5F1725EE">
            <w:pPr>
              <w:numPr>
                <w:ilvl w:val="0"/>
                <w:numId w:val="2"/>
              </w:numPr>
              <w:spacing w:line="360" w:lineRule="exact"/>
              <w:ind w:left="0" w:leftChars="0" w:firstLine="0" w:firstLineChars="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具有有效的国家信息安全漏洞库（CNNVD）技术支撑单位三级及以上证书（须提供有效期内证书复印件，加盖投标人公章），得4分；</w:t>
            </w:r>
          </w:p>
          <w:p w14:paraId="101B6365">
            <w:pPr>
              <w:numPr>
                <w:ilvl w:val="0"/>
                <w:numId w:val="2"/>
              </w:numPr>
              <w:spacing w:line="360" w:lineRule="exact"/>
              <w:ind w:left="0" w:leftChars="0" w:firstLine="0" w:firstLineChars="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具有中国电子工业标准化技术协会办法的ITSS信息技术服务标准符合性证书（须提供有效期内证书复印件，加盖投标人公章），得4分；</w:t>
            </w:r>
          </w:p>
          <w:p w14:paraId="41D4BD09">
            <w:pPr>
              <w:numPr>
                <w:ilvl w:val="0"/>
                <w:numId w:val="2"/>
              </w:numPr>
              <w:spacing w:line="360" w:lineRule="exact"/>
              <w:ind w:left="0" w:leftChars="0" w:firstLine="0" w:firstLineChars="0"/>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lang w:val="en-US" w:eastAsia="zh-CN"/>
              </w:rPr>
              <w:t>1</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具有质量管理体系认证证书（ISO9001），得1分</w:t>
            </w:r>
            <w:r>
              <w:rPr>
                <w:rFonts w:hint="eastAsia" w:ascii="仿宋_GB2312" w:hAnsi="仿宋_GB2312" w:eastAsia="仿宋_GB2312" w:cs="仿宋_GB2312"/>
                <w:sz w:val="22"/>
                <w:szCs w:val="22"/>
                <w:lang w:eastAsia="zh-CN"/>
              </w:rPr>
              <w:t>。</w:t>
            </w:r>
          </w:p>
          <w:p w14:paraId="7E396549">
            <w:pPr>
              <w:numPr>
                <w:ilvl w:val="0"/>
                <w:numId w:val="0"/>
              </w:numPr>
              <w:spacing w:line="360" w:lineRule="exact"/>
              <w:ind w:leftChars="0"/>
              <w:rPr>
                <w:rFonts w:hint="eastAsia" w:ascii="仿宋_GB2312" w:hAnsi="仿宋_GB2312" w:eastAsia="仿宋_GB2312" w:cs="仿宋_GB2312"/>
                <w:sz w:val="22"/>
                <w:szCs w:val="22"/>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lang w:val="en-US" w:eastAsia="zh-CN"/>
              </w:rPr>
              <w:t>2</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具有信息安全管理体系认证证书（ISO27001），得1分</w:t>
            </w:r>
          </w:p>
          <w:p w14:paraId="17AF04C2">
            <w:pPr>
              <w:numPr>
                <w:ilvl w:val="0"/>
                <w:numId w:val="0"/>
              </w:numPr>
              <w:spacing w:line="360" w:lineRule="exact"/>
              <w:ind w:leftChars="0"/>
              <w:rPr>
                <w:rFonts w:hint="eastAsia" w:ascii="仿宋_GB2312" w:hAnsi="仿宋_GB2312" w:eastAsia="仿宋_GB2312" w:cs="仿宋_GB2312"/>
                <w:sz w:val="22"/>
                <w:szCs w:val="22"/>
                <w:lang w:eastAsia="zh-CN"/>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lang w:val="en-US" w:eastAsia="zh-CN"/>
              </w:rPr>
              <w:t>3</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具有信息技术服务管理体系认证证书（ISO20000），得1分</w:t>
            </w:r>
            <w:r>
              <w:rPr>
                <w:rFonts w:hint="eastAsia" w:ascii="仿宋_GB2312" w:hAnsi="仿宋_GB2312" w:eastAsia="仿宋_GB2312" w:cs="仿宋_GB2312"/>
                <w:sz w:val="22"/>
                <w:szCs w:val="22"/>
                <w:lang w:eastAsia="zh-CN"/>
              </w:rPr>
              <w:t>。</w:t>
            </w:r>
          </w:p>
          <w:p w14:paraId="6565AEDA">
            <w:pPr>
              <w:numPr>
                <w:ilvl w:val="0"/>
                <w:numId w:val="0"/>
              </w:numPr>
              <w:spacing w:line="360" w:lineRule="exact"/>
              <w:ind w:leftChars="0"/>
              <w:rPr>
                <w:rFonts w:hint="eastAsia" w:ascii="仿宋_GB2312" w:hAnsi="仿宋_GB2312" w:eastAsia="仿宋_GB2312" w:cs="仿宋_GB2312"/>
                <w:sz w:val="22"/>
                <w:szCs w:val="22"/>
                <w:lang w:eastAsia="zh-CN"/>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lang w:val="en-US" w:eastAsia="zh-CN"/>
              </w:rPr>
              <w:t>4</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具有职业健康安全管理体系证书（ISO45001），得1分</w:t>
            </w:r>
            <w:r>
              <w:rPr>
                <w:rFonts w:hint="eastAsia" w:ascii="仿宋_GB2312" w:hAnsi="仿宋_GB2312" w:eastAsia="仿宋_GB2312" w:cs="仿宋_GB2312"/>
                <w:sz w:val="22"/>
                <w:szCs w:val="22"/>
                <w:lang w:eastAsia="zh-CN"/>
              </w:rPr>
              <w:t>。</w:t>
            </w:r>
          </w:p>
          <w:p w14:paraId="4AAEA173">
            <w:pPr>
              <w:numPr>
                <w:ilvl w:val="0"/>
                <w:numId w:val="0"/>
              </w:numPr>
              <w:spacing w:line="360" w:lineRule="exact"/>
              <w:ind w:leftChars="0"/>
              <w:rPr>
                <w:rFonts w:hint="eastAsia" w:eastAsia="仿宋_GB2312"/>
                <w:lang w:eastAsia="zh-CN"/>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lang w:val="en-US" w:eastAsia="zh-CN"/>
              </w:rPr>
              <w:t>5</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具有环境管理体系证书（ISO14001），得1分</w:t>
            </w:r>
            <w:r>
              <w:rPr>
                <w:rFonts w:hint="eastAsia" w:ascii="仿宋_GB2312" w:hAnsi="仿宋_GB2312" w:eastAsia="仿宋_GB2312" w:cs="仿宋_GB2312"/>
                <w:sz w:val="22"/>
                <w:szCs w:val="22"/>
                <w:lang w:eastAsia="zh-CN"/>
              </w:rPr>
              <w:t>。</w:t>
            </w:r>
          </w:p>
        </w:tc>
      </w:tr>
      <w:tr w14:paraId="209BDCB0">
        <w:tblPrEx>
          <w:tblCellMar>
            <w:top w:w="0" w:type="dxa"/>
            <w:left w:w="108" w:type="dxa"/>
            <w:bottom w:w="0" w:type="dxa"/>
            <w:right w:w="108" w:type="dxa"/>
          </w:tblCellMar>
        </w:tblPrEx>
        <w:trPr>
          <w:trHeight w:val="864"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5F2C1E87">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4</w:t>
            </w:r>
          </w:p>
        </w:tc>
        <w:tc>
          <w:tcPr>
            <w:tcW w:w="1508" w:type="dxa"/>
            <w:tcBorders>
              <w:top w:val="single" w:color="000000" w:sz="4" w:space="0"/>
              <w:left w:val="single" w:color="000000" w:sz="4" w:space="0"/>
              <w:bottom w:val="single" w:color="000000" w:sz="4" w:space="0"/>
              <w:right w:val="single" w:color="000000" w:sz="4" w:space="0"/>
            </w:tcBorders>
            <w:noWrap/>
            <w:vAlign w:val="center"/>
          </w:tcPr>
          <w:p w14:paraId="6D35F1E4">
            <w:pPr>
              <w:keepNext w:val="0"/>
              <w:keepLines w:val="0"/>
              <w:pageBreakBefore w:val="0"/>
              <w:kinsoku/>
              <w:overflowPunct/>
              <w:topLinePunct w:val="0"/>
              <w:autoSpaceDE/>
              <w:autoSpaceDN/>
              <w:bidi w:val="0"/>
              <w:adjustRightInd/>
              <w:snapToGrid/>
              <w:spacing w:after="200" w:line="360" w:lineRule="auto"/>
              <w:jc w:val="center"/>
              <w:rPr>
                <w:rFonts w:hint="default"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服务保障</w:t>
            </w:r>
          </w:p>
        </w:tc>
        <w:tc>
          <w:tcPr>
            <w:tcW w:w="1030" w:type="dxa"/>
            <w:tcBorders>
              <w:top w:val="single" w:color="000000" w:sz="4" w:space="0"/>
              <w:left w:val="single" w:color="000000" w:sz="4" w:space="0"/>
              <w:bottom w:val="single" w:color="000000" w:sz="4" w:space="0"/>
              <w:right w:val="single" w:color="000000" w:sz="4" w:space="0"/>
            </w:tcBorders>
            <w:noWrap/>
            <w:vAlign w:val="center"/>
          </w:tcPr>
          <w:p w14:paraId="6BCFC4CC">
            <w:pPr>
              <w:keepNext w:val="0"/>
              <w:keepLines w:val="0"/>
              <w:pageBreakBefore w:val="0"/>
              <w:kinsoku/>
              <w:overflowPunct/>
              <w:topLinePunct w:val="0"/>
              <w:autoSpaceDE/>
              <w:autoSpaceDN/>
              <w:bidi w:val="0"/>
              <w:adjustRightInd/>
              <w:snapToGrid/>
              <w:spacing w:after="200" w:line="360" w:lineRule="auto"/>
              <w:jc w:val="center"/>
              <w:rPr>
                <w:rFonts w:hint="default"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20</w:t>
            </w:r>
          </w:p>
        </w:tc>
        <w:tc>
          <w:tcPr>
            <w:tcW w:w="8030" w:type="dxa"/>
            <w:tcBorders>
              <w:top w:val="single" w:color="000000" w:sz="4" w:space="0"/>
              <w:left w:val="single" w:color="000000" w:sz="4" w:space="0"/>
              <w:bottom w:val="single" w:color="000000" w:sz="4" w:space="0"/>
              <w:right w:val="single" w:color="000000" w:sz="4" w:space="0"/>
            </w:tcBorders>
            <w:noWrap/>
            <w:vAlign w:val="top"/>
          </w:tcPr>
          <w:p w14:paraId="7A47BEB7">
            <w:pPr>
              <w:numPr>
                <w:ilvl w:val="0"/>
                <w:numId w:val="3"/>
              </w:numPr>
              <w:spacing w:line="360" w:lineRule="exact"/>
              <w:ind w:left="0" w:leftChars="0" w:firstLine="0" w:firstLineChars="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项目经理</w:t>
            </w:r>
          </w:p>
          <w:p w14:paraId="57E11E4E">
            <w:pPr>
              <w:numPr>
                <w:ilvl w:val="0"/>
                <w:numId w:val="0"/>
              </w:numPr>
              <w:spacing w:line="360" w:lineRule="exact"/>
              <w:ind w:firstLine="440" w:firstLineChars="200"/>
              <w:rPr>
                <w:rFonts w:hint="eastAsia" w:ascii="仿宋_GB2312" w:hAnsi="仿宋_GB2312" w:eastAsia="仿宋_GB2312" w:cs="仿宋_GB2312"/>
                <w:color w:val="auto"/>
                <w:sz w:val="22"/>
                <w:szCs w:val="22"/>
              </w:rPr>
            </w:pPr>
            <w:r>
              <w:rPr>
                <w:rFonts w:hint="eastAsia" w:ascii="仿宋_GB2312" w:hAnsi="仿宋_GB2312" w:eastAsia="仿宋_GB2312" w:cs="仿宋_GB2312"/>
                <w:sz w:val="22"/>
                <w:szCs w:val="22"/>
              </w:rPr>
              <w:t>投标人拟派一名项目经理，负责项目全流程管理：制定实施计划、把控进度与质量、管控风险、协调团队与资源、确保安全测评合规，兼负安全审计及培训指导。项目经理具有PMP 项目经理资质证书、高级工程师职称、网络安全等级测评师（高级）、注册信息安全培训讲师（CISI）证书、注册渗透测试专家（CISP-PTS）、注册数据安全治理专业人员（CISP-DSG）；每提供1</w:t>
            </w:r>
            <w:r>
              <w:rPr>
                <w:rFonts w:hint="eastAsia" w:ascii="仿宋_GB2312" w:hAnsi="仿宋_GB2312" w:eastAsia="仿宋_GB2312" w:cs="仿宋_GB2312"/>
                <w:color w:val="auto"/>
                <w:sz w:val="22"/>
                <w:szCs w:val="22"/>
              </w:rPr>
              <w:t>个证书加1分，</w:t>
            </w:r>
            <w:r>
              <w:rPr>
                <w:rFonts w:hint="eastAsia" w:ascii="仿宋_GB2312" w:hAnsi="仿宋_GB2312" w:eastAsia="仿宋_GB2312" w:cs="仿宋_GB2312"/>
                <w:color w:val="auto"/>
                <w:sz w:val="22"/>
                <w:szCs w:val="22"/>
                <w:lang w:val="en-US" w:eastAsia="zh-CN"/>
              </w:rPr>
              <w:t>满分6分</w:t>
            </w:r>
            <w:r>
              <w:rPr>
                <w:rFonts w:hint="eastAsia" w:ascii="仿宋_GB2312" w:hAnsi="仿宋_GB2312" w:eastAsia="仿宋_GB2312" w:cs="仿宋_GB2312"/>
                <w:color w:val="auto"/>
                <w:sz w:val="22"/>
                <w:szCs w:val="22"/>
              </w:rPr>
              <w:t>，不提供不得分</w:t>
            </w:r>
            <w:r>
              <w:rPr>
                <w:rFonts w:hint="eastAsia" w:ascii="仿宋_GB2312" w:hAnsi="仿宋_GB2312" w:eastAsia="仿宋_GB2312" w:cs="仿宋_GB2312"/>
                <w:color w:val="auto"/>
                <w:sz w:val="22"/>
                <w:szCs w:val="22"/>
                <w:lang w:eastAsia="zh-CN"/>
              </w:rPr>
              <w:t>；</w:t>
            </w:r>
          </w:p>
          <w:p w14:paraId="1F81CA1C">
            <w:pPr>
              <w:numPr>
                <w:ilvl w:val="0"/>
                <w:numId w:val="3"/>
              </w:numPr>
              <w:spacing w:line="360" w:lineRule="exact"/>
              <w:ind w:left="0" w:leftChars="0" w:firstLine="0" w:firstLineChars="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项目成员(不含项目经理)</w:t>
            </w:r>
          </w:p>
          <w:p w14:paraId="76273515">
            <w:pPr>
              <w:numPr>
                <w:ilvl w:val="1"/>
                <w:numId w:val="4"/>
              </w:numPr>
              <w:spacing w:line="360" w:lineRule="exact"/>
              <w:ind w:left="0" w:leftChars="0" w:firstLine="418" w:firstLineChars="19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投标人拟派一名技术专家，负责项目技术规划与方案设计，主导等级保护测评工作，解决实施中的复杂技术问题（如数据传输和存储过程中的加密及完整性验证等），识别和规避安全风险，审核方案与测评结果以保障质量合规，协调技术资源支撑项目高效推进。技术专家具有网络安全等级测评师（中级）、信息系统项目管理师证书（软考高级）、注册信息系统审计师CISP-A证书、国际注册信息系统审计师认证CISA证书、注册信息系统安全专家资质CISSP证书；每提供1个证书加1分</w:t>
            </w:r>
            <w:r>
              <w:rPr>
                <w:rFonts w:hint="eastAsia" w:ascii="仿宋_GB2312" w:hAnsi="仿宋_GB2312" w:eastAsia="仿宋_GB2312" w:cs="仿宋_GB2312"/>
                <w:color w:val="auto"/>
                <w:sz w:val="22"/>
                <w:szCs w:val="22"/>
              </w:rPr>
              <w:t>，</w:t>
            </w:r>
            <w:r>
              <w:rPr>
                <w:rFonts w:hint="eastAsia" w:ascii="仿宋_GB2312" w:hAnsi="仿宋_GB2312" w:eastAsia="仿宋_GB2312" w:cs="仿宋_GB2312"/>
                <w:color w:val="auto"/>
                <w:sz w:val="22"/>
                <w:szCs w:val="22"/>
                <w:lang w:val="en-US" w:eastAsia="zh-CN"/>
              </w:rPr>
              <w:t>满分5分</w:t>
            </w:r>
            <w:r>
              <w:rPr>
                <w:rFonts w:hint="eastAsia" w:ascii="仿宋_GB2312" w:hAnsi="仿宋_GB2312" w:eastAsia="仿宋_GB2312" w:cs="仿宋_GB2312"/>
                <w:color w:val="auto"/>
                <w:sz w:val="22"/>
                <w:szCs w:val="22"/>
              </w:rPr>
              <w:t>，不提供不</w:t>
            </w:r>
            <w:r>
              <w:rPr>
                <w:rFonts w:hint="eastAsia" w:ascii="仿宋_GB2312" w:hAnsi="仿宋_GB2312" w:eastAsia="仿宋_GB2312" w:cs="仿宋_GB2312"/>
                <w:sz w:val="22"/>
                <w:szCs w:val="22"/>
              </w:rPr>
              <w:t>得分</w:t>
            </w:r>
            <w:r>
              <w:rPr>
                <w:rFonts w:hint="eastAsia" w:ascii="仿宋_GB2312" w:hAnsi="仿宋_GB2312" w:eastAsia="仿宋_GB2312" w:cs="仿宋_GB2312"/>
                <w:sz w:val="22"/>
                <w:szCs w:val="22"/>
                <w:lang w:eastAsia="zh-CN"/>
              </w:rPr>
              <w:t>；</w:t>
            </w:r>
          </w:p>
          <w:p w14:paraId="19320B25">
            <w:pPr>
              <w:numPr>
                <w:ilvl w:val="1"/>
                <w:numId w:val="4"/>
              </w:numPr>
              <w:spacing w:line="360" w:lineRule="exact"/>
              <w:ind w:left="0" w:leftChars="0" w:firstLine="418" w:firstLineChars="19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投标人拟派一名信息安全评估师，负责对信息系统的安全状况进行全面评估，等级保护测评等工作；通过渗透测试等技术手段识别系统潜在的安全漏洞和风险点，分析安全隐患并提出针对性的加固建议和解决方案；信息安全评估师具有网络安全等级测评师（中级）、信息安全保障人员（CISAW）认证证书、渗透测试工程师（CISP-PTE）证书、注册信息安全工程师（CISP-CISE）、注册数据安全治理专业人员（CISP-DSG）。每提供一个证书加1分</w:t>
            </w:r>
            <w:r>
              <w:rPr>
                <w:rFonts w:hint="eastAsia" w:ascii="仿宋_GB2312" w:hAnsi="仿宋_GB2312" w:eastAsia="仿宋_GB2312" w:cs="仿宋_GB2312"/>
                <w:color w:val="auto"/>
                <w:sz w:val="22"/>
                <w:szCs w:val="22"/>
              </w:rPr>
              <w:t>，</w:t>
            </w:r>
            <w:r>
              <w:rPr>
                <w:rFonts w:hint="eastAsia" w:ascii="仿宋_GB2312" w:hAnsi="仿宋_GB2312" w:eastAsia="仿宋_GB2312" w:cs="仿宋_GB2312"/>
                <w:color w:val="auto"/>
                <w:sz w:val="22"/>
                <w:szCs w:val="22"/>
                <w:lang w:val="en-US" w:eastAsia="zh-CN"/>
              </w:rPr>
              <w:t>满分5分</w:t>
            </w:r>
            <w:r>
              <w:rPr>
                <w:rFonts w:hint="eastAsia" w:ascii="仿宋_GB2312" w:hAnsi="仿宋_GB2312" w:eastAsia="仿宋_GB2312" w:cs="仿宋_GB2312"/>
                <w:sz w:val="22"/>
                <w:szCs w:val="22"/>
              </w:rPr>
              <w:t>，不提供不得分</w:t>
            </w:r>
            <w:r>
              <w:rPr>
                <w:rFonts w:hint="eastAsia" w:ascii="仿宋_GB2312" w:hAnsi="仿宋_GB2312" w:eastAsia="仿宋_GB2312" w:cs="仿宋_GB2312"/>
                <w:sz w:val="22"/>
                <w:szCs w:val="22"/>
                <w:lang w:eastAsia="zh-CN"/>
              </w:rPr>
              <w:t>；</w:t>
            </w:r>
          </w:p>
          <w:p w14:paraId="10D5C6C7">
            <w:pPr>
              <w:numPr>
                <w:ilvl w:val="1"/>
                <w:numId w:val="4"/>
              </w:numPr>
              <w:spacing w:line="360" w:lineRule="exact"/>
              <w:ind w:left="0" w:leftChars="0" w:firstLine="418" w:firstLineChars="190"/>
              <w:rPr>
                <w:rFonts w:hint="eastAsia" w:ascii="仿宋_GB2312" w:hAnsi="仿宋_GB2312" w:eastAsia="仿宋_GB2312" w:cs="仿宋_GB2312"/>
                <w:sz w:val="22"/>
                <w:szCs w:val="22"/>
              </w:rPr>
            </w:pPr>
            <w:r>
              <w:rPr>
                <w:rFonts w:hint="eastAsia" w:ascii="仿宋_GB2312" w:hAnsi="仿宋_GB2312" w:eastAsia="仿宋_GB2312" w:cs="仿宋_GB2312"/>
                <w:sz w:val="22"/>
                <w:szCs w:val="22"/>
              </w:rPr>
              <w:t>投标人拟派一名系统规划师，负责等级测评过程中的整改工作，给出具体指导，系统规划师具有信息系统项目管理师高级证书、网络规划设计师高级证书、信息安全工程师证书、网络工程师证书。每提供一个证书加1分，</w:t>
            </w:r>
            <w:r>
              <w:rPr>
                <w:rFonts w:hint="eastAsia" w:ascii="仿宋_GB2312" w:hAnsi="仿宋_GB2312" w:eastAsia="仿宋_GB2312" w:cs="仿宋_GB2312"/>
                <w:sz w:val="22"/>
                <w:szCs w:val="22"/>
                <w:lang w:val="en-US" w:eastAsia="zh-CN"/>
              </w:rPr>
              <w:t>满分4分</w:t>
            </w:r>
            <w:r>
              <w:rPr>
                <w:rFonts w:hint="eastAsia" w:ascii="仿宋_GB2312" w:hAnsi="仿宋_GB2312" w:eastAsia="仿宋_GB2312" w:cs="仿宋_GB2312"/>
                <w:sz w:val="22"/>
                <w:szCs w:val="22"/>
              </w:rPr>
              <w:t>，不提供不得分</w:t>
            </w:r>
            <w:r>
              <w:rPr>
                <w:rFonts w:hint="eastAsia" w:ascii="仿宋_GB2312" w:hAnsi="仿宋_GB2312" w:eastAsia="仿宋_GB2312" w:cs="仿宋_GB2312"/>
                <w:sz w:val="22"/>
                <w:szCs w:val="22"/>
                <w:lang w:eastAsia="zh-CN"/>
              </w:rPr>
              <w:t>。</w:t>
            </w:r>
          </w:p>
          <w:p w14:paraId="65B72EE7">
            <w:pPr>
              <w:numPr>
                <w:ilvl w:val="0"/>
                <w:numId w:val="0"/>
              </w:numPr>
              <w:spacing w:line="360" w:lineRule="exact"/>
              <w:jc w:val="left"/>
              <w:rPr>
                <w:rFonts w:hint="eastAsia" w:ascii="宋体" w:hAnsi="宋体" w:eastAsia="宋体" w:cs="宋体"/>
                <w:color w:val="000000"/>
                <w:sz w:val="24"/>
                <w:szCs w:val="24"/>
              </w:rPr>
            </w:pP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以上人员不能重复</w:t>
            </w:r>
            <w:r>
              <w:rPr>
                <w:rFonts w:hint="eastAsia" w:ascii="仿宋_GB2312" w:hAnsi="仿宋_GB2312" w:eastAsia="仿宋_GB2312" w:cs="仿宋_GB2312"/>
                <w:sz w:val="22"/>
                <w:szCs w:val="22"/>
                <w:lang w:eastAsia="zh-CN"/>
              </w:rPr>
              <w:t>，</w:t>
            </w:r>
            <w:r>
              <w:rPr>
                <w:rFonts w:hint="eastAsia" w:ascii="仿宋_GB2312" w:hAnsi="仿宋_GB2312" w:eastAsia="仿宋_GB2312" w:cs="仿宋_GB2312"/>
                <w:sz w:val="22"/>
                <w:szCs w:val="22"/>
              </w:rPr>
              <w:t>须提供资质证明、职称证书以及供应商所在地社保机构出具的由供应商为以上人员缴纳的社保证明，社保证明需加盖社保机构公章，否则不予计分。</w:t>
            </w:r>
            <w:r>
              <w:rPr>
                <w:rFonts w:hint="eastAsia" w:ascii="仿宋_GB2312" w:hAnsi="仿宋_GB2312" w:eastAsia="仿宋_GB2312" w:cs="仿宋_GB2312"/>
                <w:sz w:val="22"/>
                <w:szCs w:val="22"/>
                <w:lang w:eastAsia="zh-CN"/>
              </w:rPr>
              <w:t>）</w:t>
            </w:r>
          </w:p>
        </w:tc>
      </w:tr>
    </w:tbl>
    <w:p w14:paraId="0B3570A0">
      <w:pPr>
        <w:tabs>
          <w:tab w:val="left" w:pos="5133"/>
        </w:tabs>
        <w:bidi w:val="0"/>
        <w:jc w:val="left"/>
        <w:rPr>
          <w:rFonts w:hint="default" w:ascii="仿宋" w:hAnsi="仿宋" w:eastAsia="仿宋"/>
          <w:bCs/>
          <w:sz w:val="28"/>
          <w:szCs w:val="28"/>
          <w:lang w:val="en-US" w:eastAsia="zh-CN"/>
        </w:rPr>
      </w:pPr>
    </w:p>
    <w:p w14:paraId="12A01DB8">
      <w:pPr>
        <w:pStyle w:val="8"/>
        <w:spacing w:before="0" w:beforeAutospacing="0" w:after="0" w:afterAutospacing="0" w:line="440" w:lineRule="exact"/>
        <w:jc w:val="left"/>
        <w:rPr>
          <w:rFonts w:hint="eastAsia" w:ascii="仿宋" w:hAnsi="仿宋" w:eastAsia="仿宋"/>
          <w:bCs/>
          <w:sz w:val="28"/>
          <w:szCs w:val="28"/>
          <w:lang w:val="en-US" w:eastAsia="zh-CN"/>
        </w:rPr>
      </w:pPr>
    </w:p>
    <w:p w14:paraId="47289505">
      <w:pPr>
        <w:pStyle w:val="8"/>
        <w:spacing w:before="0" w:beforeAutospacing="0" w:after="0" w:afterAutospacing="0" w:line="440" w:lineRule="exact"/>
        <w:jc w:val="left"/>
        <w:rPr>
          <w:rFonts w:hint="eastAsia" w:ascii="仿宋" w:hAnsi="仿宋" w:eastAsia="仿宋"/>
          <w:bCs/>
          <w:sz w:val="28"/>
          <w:szCs w:val="28"/>
          <w:lang w:val="en-US" w:eastAsia="zh-CN"/>
        </w:rPr>
      </w:pPr>
    </w:p>
    <w:p w14:paraId="3F5E84DD">
      <w:pPr>
        <w:pStyle w:val="8"/>
        <w:spacing w:before="0" w:beforeAutospacing="0" w:after="0" w:afterAutospacing="0" w:line="440" w:lineRule="exact"/>
        <w:jc w:val="left"/>
        <w:rPr>
          <w:rFonts w:hint="eastAsia" w:ascii="仿宋" w:hAnsi="仿宋" w:eastAsia="仿宋"/>
          <w:bCs/>
          <w:sz w:val="28"/>
          <w:szCs w:val="28"/>
          <w:lang w:val="en-US" w:eastAsia="zh-CN"/>
        </w:rPr>
      </w:pPr>
    </w:p>
    <w:p w14:paraId="5750FB38">
      <w:pPr>
        <w:pStyle w:val="8"/>
        <w:spacing w:before="0" w:beforeAutospacing="0" w:after="0" w:afterAutospacing="0" w:line="440" w:lineRule="exact"/>
        <w:jc w:val="left"/>
        <w:rPr>
          <w:rFonts w:hint="eastAsia" w:ascii="仿宋" w:hAnsi="仿宋" w:eastAsia="仿宋"/>
          <w:bCs/>
          <w:sz w:val="28"/>
          <w:szCs w:val="28"/>
          <w:lang w:val="en-US" w:eastAsia="zh-CN"/>
        </w:rPr>
      </w:pPr>
    </w:p>
    <w:p w14:paraId="1240E5CE">
      <w:pPr>
        <w:pStyle w:val="8"/>
        <w:spacing w:before="0" w:beforeAutospacing="0" w:after="0" w:afterAutospacing="0" w:line="440" w:lineRule="exact"/>
        <w:jc w:val="left"/>
        <w:rPr>
          <w:rFonts w:hint="eastAsia" w:ascii="仿宋" w:hAnsi="仿宋" w:eastAsia="仿宋"/>
          <w:bCs/>
          <w:sz w:val="28"/>
          <w:szCs w:val="28"/>
          <w:lang w:val="en-US" w:eastAsia="zh-CN"/>
        </w:rPr>
      </w:pPr>
    </w:p>
    <w:p w14:paraId="3E45D596">
      <w:pPr>
        <w:pStyle w:val="8"/>
        <w:spacing w:before="0" w:beforeAutospacing="0" w:after="0" w:afterAutospacing="0" w:line="440" w:lineRule="exact"/>
        <w:jc w:val="left"/>
        <w:rPr>
          <w:rFonts w:hint="eastAsia" w:ascii="仿宋" w:hAnsi="仿宋" w:eastAsia="仿宋"/>
          <w:bCs/>
          <w:sz w:val="28"/>
          <w:szCs w:val="28"/>
          <w:lang w:val="en-US" w:eastAsia="zh-CN"/>
        </w:rPr>
      </w:pPr>
    </w:p>
    <w:p w14:paraId="64F41B2A">
      <w:pPr>
        <w:pStyle w:val="8"/>
        <w:spacing w:before="0" w:beforeAutospacing="0" w:after="0" w:afterAutospacing="0" w:line="440" w:lineRule="exact"/>
        <w:jc w:val="left"/>
        <w:rPr>
          <w:rFonts w:hint="eastAsia" w:ascii="仿宋" w:hAnsi="仿宋" w:eastAsia="仿宋"/>
          <w:bCs/>
          <w:sz w:val="28"/>
          <w:szCs w:val="28"/>
          <w:lang w:val="en-US" w:eastAsia="zh-CN"/>
        </w:rPr>
      </w:pPr>
    </w:p>
    <w:p w14:paraId="641C5F81">
      <w:pPr>
        <w:pStyle w:val="8"/>
        <w:spacing w:before="0" w:beforeAutospacing="0" w:after="0" w:afterAutospacing="0" w:line="440" w:lineRule="exact"/>
        <w:jc w:val="left"/>
        <w:rPr>
          <w:rFonts w:hint="eastAsia" w:ascii="仿宋" w:hAnsi="仿宋" w:eastAsia="仿宋"/>
          <w:bCs/>
          <w:sz w:val="28"/>
          <w:szCs w:val="28"/>
          <w:lang w:val="en-US" w:eastAsia="zh-CN"/>
        </w:rPr>
      </w:pPr>
    </w:p>
    <w:p w14:paraId="7DE5D23D">
      <w:pPr>
        <w:pStyle w:val="8"/>
        <w:spacing w:before="0" w:beforeAutospacing="0" w:after="0" w:afterAutospacing="0" w:line="440" w:lineRule="exact"/>
        <w:jc w:val="left"/>
        <w:rPr>
          <w:rFonts w:hint="eastAsia" w:ascii="仿宋" w:hAnsi="仿宋" w:eastAsia="仿宋"/>
          <w:bCs/>
          <w:sz w:val="28"/>
          <w:szCs w:val="28"/>
          <w:lang w:val="en-US" w:eastAsia="zh-CN"/>
        </w:rPr>
      </w:pPr>
      <w:r>
        <w:rPr>
          <w:rFonts w:hint="eastAsia" w:ascii="仿宋" w:hAnsi="仿宋" w:eastAsia="仿宋"/>
          <w:bCs/>
          <w:sz w:val="28"/>
          <w:szCs w:val="28"/>
          <w:lang w:val="en-US" w:eastAsia="zh-CN"/>
        </w:rPr>
        <w:t>附件2：</w:t>
      </w:r>
    </w:p>
    <w:p w14:paraId="11BE2379">
      <w:pPr>
        <w:jc w:val="center"/>
        <w:rPr>
          <w:rFonts w:hint="default" w:ascii="仿宋" w:hAnsi="仿宋" w:eastAsia="仿宋"/>
          <w:b/>
          <w:bCs w:val="0"/>
          <w:sz w:val="28"/>
          <w:szCs w:val="28"/>
          <w:lang w:val="en-US" w:eastAsia="zh-CN"/>
        </w:rPr>
      </w:pPr>
      <w:r>
        <w:rPr>
          <w:rFonts w:hint="eastAsia" w:ascii="仿宋" w:hAnsi="仿宋" w:eastAsia="仿宋"/>
          <w:b/>
          <w:bCs w:val="0"/>
          <w:sz w:val="28"/>
          <w:szCs w:val="28"/>
          <w:lang w:val="en-US" w:eastAsia="zh-CN"/>
        </w:rPr>
        <w:t>技术参数（需提供技术参数偏离表）</w:t>
      </w:r>
    </w:p>
    <w:tbl>
      <w:tblPr>
        <w:tblStyle w:val="10"/>
        <w:tblW w:w="11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1320"/>
        <w:gridCol w:w="8842"/>
      </w:tblGrid>
      <w:tr w14:paraId="09E9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4" w:hRule="atLeast"/>
          <w:jc w:val="center"/>
        </w:trPr>
        <w:tc>
          <w:tcPr>
            <w:tcW w:w="951" w:type="dxa"/>
            <w:tcBorders>
              <w:top w:val="single" w:color="auto" w:sz="4" w:space="0"/>
              <w:left w:val="single" w:color="auto" w:sz="4" w:space="0"/>
              <w:bottom w:val="single" w:color="auto" w:sz="4" w:space="0"/>
              <w:right w:val="single" w:color="auto" w:sz="4" w:space="0"/>
            </w:tcBorders>
            <w:shd w:val="clear" w:color="auto" w:fill="D7D7D7"/>
            <w:noWrap w:val="0"/>
            <w:vAlign w:val="center"/>
          </w:tcPr>
          <w:p w14:paraId="5A786AB0">
            <w:pPr>
              <w:keepNext w:val="0"/>
              <w:keepLines w:val="0"/>
              <w:pageBreakBefore w:val="0"/>
              <w:kinsoku/>
              <w:overflowPunct/>
              <w:topLinePunct w:val="0"/>
              <w:autoSpaceDE/>
              <w:autoSpaceDN/>
              <w:bidi w:val="0"/>
              <w:adjustRightInd/>
              <w:snapToGrid/>
              <w:spacing w:after="200" w:line="360" w:lineRule="auto"/>
              <w:jc w:val="center"/>
              <w:rPr>
                <w:rFonts w:ascii="仿宋_GB2312" w:hAnsi="仿宋_GB2312" w:eastAsia="仿宋_GB2312" w:cs="仿宋_GB2312"/>
                <w:b/>
                <w:bCs/>
                <w:color w:val="000000"/>
                <w:spacing w:val="-4"/>
                <w:sz w:val="24"/>
                <w:szCs w:val="24"/>
              </w:rPr>
            </w:pPr>
            <w:r>
              <w:rPr>
                <w:rFonts w:hint="eastAsia" w:ascii="仿宋_GB2312" w:hAnsi="仿宋_GB2312" w:eastAsia="仿宋_GB2312" w:cs="仿宋_GB2312"/>
                <w:b/>
                <w:bCs/>
                <w:color w:val="000000"/>
                <w:spacing w:val="-4"/>
                <w:sz w:val="24"/>
                <w:szCs w:val="24"/>
              </w:rPr>
              <w:t>序号</w:t>
            </w:r>
          </w:p>
        </w:tc>
        <w:tc>
          <w:tcPr>
            <w:tcW w:w="1320" w:type="dxa"/>
            <w:tcBorders>
              <w:top w:val="single" w:color="auto" w:sz="4" w:space="0"/>
              <w:left w:val="single" w:color="auto" w:sz="4" w:space="0"/>
              <w:bottom w:val="single" w:color="auto" w:sz="4" w:space="0"/>
              <w:right w:val="single" w:color="auto" w:sz="4" w:space="0"/>
            </w:tcBorders>
            <w:shd w:val="clear" w:color="auto" w:fill="D7D7D7"/>
            <w:noWrap w:val="0"/>
            <w:vAlign w:val="center"/>
          </w:tcPr>
          <w:p w14:paraId="201F5288">
            <w:pPr>
              <w:keepNext w:val="0"/>
              <w:keepLines w:val="0"/>
              <w:pageBreakBefore w:val="0"/>
              <w:kinsoku/>
              <w:overflowPunct/>
              <w:topLinePunct w:val="0"/>
              <w:autoSpaceDE/>
              <w:autoSpaceDN/>
              <w:bidi w:val="0"/>
              <w:adjustRightInd/>
              <w:snapToGrid/>
              <w:spacing w:after="200" w:line="360" w:lineRule="auto"/>
              <w:jc w:val="center"/>
              <w:rPr>
                <w:rFonts w:ascii="仿宋_GB2312" w:hAnsi="仿宋_GB2312" w:eastAsia="仿宋_GB2312" w:cs="仿宋_GB2312"/>
                <w:b/>
                <w:bCs/>
                <w:color w:val="000000"/>
                <w:spacing w:val="-4"/>
                <w:sz w:val="24"/>
                <w:szCs w:val="24"/>
              </w:rPr>
            </w:pPr>
            <w:r>
              <w:rPr>
                <w:rFonts w:hint="eastAsia" w:ascii="仿宋_GB2312" w:hAnsi="仿宋_GB2312" w:eastAsia="仿宋_GB2312" w:cs="仿宋_GB2312"/>
                <w:b/>
                <w:bCs/>
                <w:color w:val="000000"/>
                <w:spacing w:val="-4"/>
                <w:sz w:val="24"/>
                <w:szCs w:val="24"/>
              </w:rPr>
              <w:t>项目</w:t>
            </w:r>
          </w:p>
        </w:tc>
        <w:tc>
          <w:tcPr>
            <w:tcW w:w="8842" w:type="dxa"/>
            <w:tcBorders>
              <w:top w:val="single" w:color="auto" w:sz="4" w:space="0"/>
              <w:left w:val="single" w:color="auto" w:sz="4" w:space="0"/>
              <w:bottom w:val="single" w:color="auto" w:sz="4" w:space="0"/>
              <w:right w:val="single" w:color="auto" w:sz="4" w:space="0"/>
            </w:tcBorders>
            <w:shd w:val="clear" w:color="auto" w:fill="D7D7D7"/>
            <w:noWrap w:val="0"/>
            <w:vAlign w:val="center"/>
          </w:tcPr>
          <w:p w14:paraId="35AB91EB">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b/>
                <w:bCs/>
                <w:color w:val="000000"/>
                <w:spacing w:val="-4"/>
                <w:sz w:val="24"/>
                <w:szCs w:val="24"/>
                <w:lang w:eastAsia="zh-CN"/>
              </w:rPr>
            </w:pPr>
            <w:r>
              <w:rPr>
                <w:rFonts w:hint="eastAsia" w:ascii="仿宋_GB2312" w:hAnsi="仿宋_GB2312" w:eastAsia="仿宋_GB2312" w:cs="仿宋_GB2312"/>
                <w:b/>
                <w:bCs/>
                <w:color w:val="000000"/>
                <w:spacing w:val="-4"/>
                <w:sz w:val="24"/>
                <w:szCs w:val="24"/>
                <w:lang w:val="en-US" w:eastAsia="zh-CN"/>
              </w:rPr>
              <w:t>要求</w:t>
            </w:r>
          </w:p>
        </w:tc>
      </w:tr>
      <w:tr w14:paraId="50F86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0"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2327AA2D">
            <w:pPr>
              <w:keepNext w:val="0"/>
              <w:keepLines w:val="0"/>
              <w:pageBreakBefore w:val="0"/>
              <w:numPr>
                <w:ilvl w:val="0"/>
                <w:numId w:val="0"/>
              </w:numPr>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1</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4E9694F9">
            <w:pPr>
              <w:keepNext w:val="0"/>
              <w:keepLines w:val="0"/>
              <w:pageBreakBefore w:val="0"/>
              <w:kinsoku/>
              <w:overflowPunct/>
              <w:topLinePunct w:val="0"/>
              <w:autoSpaceDE/>
              <w:autoSpaceDN/>
              <w:bidi w:val="0"/>
              <w:adjustRightInd/>
              <w:snapToGrid/>
              <w:spacing w:after="200" w:line="360" w:lineRule="auto"/>
              <w:jc w:val="center"/>
              <w:rPr>
                <w:rFonts w:ascii="仿宋_GB2312" w:hAnsi="仿宋_GB2312" w:eastAsia="仿宋_GB2312" w:cs="仿宋_GB2312"/>
                <w:color w:val="000000"/>
                <w:spacing w:val="-4"/>
                <w:sz w:val="22"/>
                <w:szCs w:val="22"/>
              </w:rPr>
            </w:pPr>
            <w:r>
              <w:rPr>
                <w:rFonts w:hint="eastAsia" w:ascii="仿宋_GB2312" w:hAnsi="仿宋_GB2312" w:eastAsia="仿宋_GB2312" w:cs="仿宋_GB2312"/>
                <w:color w:val="000000"/>
                <w:spacing w:val="-4"/>
                <w:sz w:val="22"/>
                <w:szCs w:val="22"/>
                <w:lang w:val="en-US" w:eastAsia="zh-CN"/>
              </w:rPr>
              <w:t>HIS、HRP</w:t>
            </w:r>
            <w:r>
              <w:rPr>
                <w:rFonts w:hint="eastAsia" w:ascii="仿宋_GB2312" w:hAnsi="仿宋_GB2312" w:eastAsia="仿宋_GB2312" w:cs="仿宋_GB2312"/>
                <w:color w:val="000000"/>
                <w:spacing w:val="-4"/>
                <w:sz w:val="22"/>
                <w:szCs w:val="22"/>
              </w:rPr>
              <w:t>三级等保测评</w:t>
            </w:r>
          </w:p>
        </w:tc>
        <w:tc>
          <w:tcPr>
            <w:tcW w:w="8842" w:type="dxa"/>
            <w:tcBorders>
              <w:top w:val="single" w:color="auto" w:sz="4" w:space="0"/>
              <w:left w:val="single" w:color="auto" w:sz="4" w:space="0"/>
              <w:bottom w:val="single" w:color="auto" w:sz="4" w:space="0"/>
              <w:right w:val="single" w:color="auto" w:sz="4" w:space="0"/>
            </w:tcBorders>
            <w:noWrap w:val="0"/>
            <w:vAlign w:val="center"/>
          </w:tcPr>
          <w:p w14:paraId="45328FED">
            <w:pPr>
              <w:keepNext w:val="0"/>
              <w:keepLines w:val="0"/>
              <w:pageBreakBefore w:val="0"/>
              <w:widowControl/>
              <w:numPr>
                <w:ilvl w:val="0"/>
                <w:numId w:val="5"/>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按等保要求对我单位医院信息系统（HIS）</w:t>
            </w:r>
            <w:r>
              <w:rPr>
                <w:rFonts w:hint="eastAsia" w:ascii="仿宋_GB2312" w:hAnsi="仿宋_GB2312" w:eastAsia="仿宋_GB2312" w:cs="仿宋_GB2312"/>
                <w:color w:val="000000"/>
                <w:sz w:val="22"/>
                <w:szCs w:val="22"/>
                <w:lang w:eastAsia="zh-CN"/>
              </w:rPr>
              <w:t>、医院综合运营管理系统（HRP）</w:t>
            </w:r>
            <w:r>
              <w:rPr>
                <w:rFonts w:hint="eastAsia" w:ascii="仿宋_GB2312" w:hAnsi="仿宋_GB2312" w:eastAsia="仿宋_GB2312" w:cs="仿宋_GB2312"/>
                <w:color w:val="000000"/>
                <w:sz w:val="22"/>
                <w:szCs w:val="22"/>
              </w:rPr>
              <w:t>开展三级等保测评工作。</w:t>
            </w:r>
          </w:p>
          <w:p w14:paraId="311791FC">
            <w:pPr>
              <w:keepNext w:val="0"/>
              <w:keepLines w:val="0"/>
              <w:pageBreakBefore w:val="0"/>
              <w:widowControl/>
              <w:numPr>
                <w:ilvl w:val="0"/>
                <w:numId w:val="5"/>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pacing w:val="-4"/>
                <w:sz w:val="22"/>
                <w:szCs w:val="22"/>
                <w:lang w:eastAsia="zh-CN"/>
              </w:rPr>
            </w:pPr>
            <w:r>
              <w:rPr>
                <w:rFonts w:hint="eastAsia" w:ascii="仿宋_GB2312" w:hAnsi="仿宋_GB2312" w:eastAsia="仿宋_GB2312" w:cs="仿宋_GB2312"/>
                <w:color w:val="000000"/>
                <w:sz w:val="22"/>
                <w:szCs w:val="22"/>
              </w:rPr>
              <w:t>从安全物理环境、安全通信网络、安全区域边界、安全计算环境、安全管理中心、安全管理制度、安全管理机构、安全管理人员、安全建设管理、安全运维管理十个方面，对被测评对象进行综合测评</w:t>
            </w:r>
            <w:r>
              <w:rPr>
                <w:rFonts w:hint="eastAsia" w:ascii="仿宋_GB2312" w:hAnsi="仿宋_GB2312" w:eastAsia="仿宋_GB2312" w:cs="仿宋_GB2312"/>
                <w:color w:val="000000"/>
                <w:sz w:val="22"/>
                <w:szCs w:val="22"/>
                <w:lang w:eastAsia="zh-CN"/>
              </w:rPr>
              <w:t>。</w:t>
            </w:r>
          </w:p>
        </w:tc>
      </w:tr>
      <w:tr w14:paraId="49C4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9"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32A7ADF6">
            <w:pPr>
              <w:keepNext w:val="0"/>
              <w:keepLines w:val="0"/>
              <w:pageBreakBefore w:val="0"/>
              <w:kinsoku/>
              <w:overflowPunct/>
              <w:topLinePunct w:val="0"/>
              <w:autoSpaceDE/>
              <w:autoSpaceDN/>
              <w:bidi w:val="0"/>
              <w:adjustRightInd/>
              <w:snapToGrid/>
              <w:spacing w:after="200" w:line="360" w:lineRule="auto"/>
              <w:jc w:val="center"/>
              <w:rPr>
                <w:rFonts w:hint="default"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2</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6C7A1721">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rPr>
            </w:pPr>
            <w:r>
              <w:rPr>
                <w:rFonts w:hint="eastAsia" w:ascii="仿宋_GB2312" w:hAnsi="仿宋_GB2312" w:eastAsia="仿宋_GB2312" w:cs="仿宋_GB2312"/>
                <w:color w:val="000000"/>
                <w:spacing w:val="-4"/>
                <w:sz w:val="22"/>
                <w:szCs w:val="22"/>
              </w:rPr>
              <w:t>定期安全巡检</w:t>
            </w:r>
          </w:p>
        </w:tc>
        <w:tc>
          <w:tcPr>
            <w:tcW w:w="8842" w:type="dxa"/>
            <w:tcBorders>
              <w:top w:val="single" w:color="auto" w:sz="4" w:space="0"/>
              <w:left w:val="single" w:color="auto" w:sz="4" w:space="0"/>
              <w:bottom w:val="single" w:color="auto" w:sz="4" w:space="0"/>
              <w:right w:val="single" w:color="auto" w:sz="4" w:space="0"/>
            </w:tcBorders>
            <w:noWrap w:val="0"/>
            <w:vAlign w:val="center"/>
          </w:tcPr>
          <w:p w14:paraId="75E5BCE5">
            <w:pPr>
              <w:keepNext w:val="0"/>
              <w:keepLines w:val="0"/>
              <w:pageBreakBefore w:val="0"/>
              <w:widowControl/>
              <w:numPr>
                <w:ilvl w:val="0"/>
                <w:numId w:val="6"/>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每</w:t>
            </w:r>
            <w:r>
              <w:rPr>
                <w:rFonts w:hint="eastAsia" w:ascii="仿宋_GB2312" w:hAnsi="仿宋_GB2312" w:eastAsia="仿宋_GB2312" w:cs="仿宋_GB2312"/>
                <w:color w:val="000000"/>
                <w:sz w:val="22"/>
                <w:szCs w:val="22"/>
                <w:lang w:val="en-US" w:eastAsia="zh-CN"/>
              </w:rPr>
              <w:t>季度</w:t>
            </w:r>
            <w:r>
              <w:rPr>
                <w:rFonts w:hint="eastAsia" w:ascii="仿宋_GB2312" w:hAnsi="仿宋_GB2312" w:eastAsia="仿宋_GB2312" w:cs="仿宋_GB2312"/>
                <w:color w:val="000000"/>
                <w:sz w:val="22"/>
                <w:szCs w:val="22"/>
              </w:rPr>
              <w:t>开展一次巡检工作。</w:t>
            </w:r>
          </w:p>
          <w:p w14:paraId="1F6B0D15">
            <w:pPr>
              <w:keepNext w:val="0"/>
              <w:keepLines w:val="0"/>
              <w:pageBreakBefore w:val="0"/>
              <w:widowControl/>
              <w:numPr>
                <w:ilvl w:val="0"/>
                <w:numId w:val="6"/>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巡检范围包括门户网站、LIS系统、PACS系统、OA业务系统、HIS系统等，涉及机房的所有服务器、核心网络设备、安全设备。（若整改过程新增安全设备，在服务期内进行安全巡检工作）。</w:t>
            </w:r>
          </w:p>
          <w:p w14:paraId="0CCF7F9D">
            <w:pPr>
              <w:keepNext w:val="0"/>
              <w:keepLines w:val="0"/>
              <w:pageBreakBefore w:val="0"/>
              <w:widowControl/>
              <w:numPr>
                <w:ilvl w:val="0"/>
                <w:numId w:val="6"/>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漏洞扫描、渗透测试涉及门户网站、LIS系统、PACS系统、OA业务系统、HIS系统等和相关服务器、数据库。</w:t>
            </w:r>
          </w:p>
          <w:p w14:paraId="41ACA9F7">
            <w:pPr>
              <w:keepNext w:val="0"/>
              <w:keepLines w:val="0"/>
              <w:pageBreakBefore w:val="0"/>
              <w:widowControl/>
              <w:numPr>
                <w:ilvl w:val="0"/>
                <w:numId w:val="6"/>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提交《资产台账表》和《漏洞台账表》，每季度进行更新。</w:t>
            </w:r>
          </w:p>
          <w:p w14:paraId="50C53704">
            <w:pPr>
              <w:keepNext w:val="0"/>
              <w:keepLines w:val="0"/>
              <w:pageBreakBefore w:val="0"/>
              <w:widowControl/>
              <w:numPr>
                <w:ilvl w:val="0"/>
                <w:numId w:val="6"/>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pacing w:val="-4"/>
                <w:sz w:val="22"/>
                <w:szCs w:val="22"/>
                <w:lang w:eastAsia="zh-CN"/>
              </w:rPr>
            </w:pPr>
            <w:r>
              <w:rPr>
                <w:rFonts w:hint="eastAsia" w:ascii="仿宋_GB2312" w:hAnsi="仿宋_GB2312" w:eastAsia="仿宋_GB2312" w:cs="仿宋_GB2312"/>
                <w:color w:val="000000"/>
                <w:sz w:val="22"/>
                <w:szCs w:val="22"/>
              </w:rPr>
              <w:t>每</w:t>
            </w:r>
            <w:r>
              <w:rPr>
                <w:rFonts w:hint="eastAsia" w:ascii="仿宋_GB2312" w:hAnsi="仿宋_GB2312" w:eastAsia="仿宋_GB2312" w:cs="仿宋_GB2312"/>
                <w:color w:val="000000"/>
                <w:sz w:val="22"/>
                <w:szCs w:val="22"/>
                <w:lang w:val="en-US" w:eastAsia="zh-CN"/>
              </w:rPr>
              <w:t>季度</w:t>
            </w:r>
            <w:r>
              <w:rPr>
                <w:rFonts w:hint="eastAsia" w:ascii="仿宋_GB2312" w:hAnsi="仿宋_GB2312" w:eastAsia="仿宋_GB2312" w:cs="仿宋_GB2312"/>
                <w:color w:val="000000"/>
                <w:sz w:val="22"/>
                <w:szCs w:val="22"/>
              </w:rPr>
              <w:t>出具《网络安全巡检报告》。</w:t>
            </w:r>
          </w:p>
        </w:tc>
      </w:tr>
      <w:tr w14:paraId="7C50E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2"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59E12695">
            <w:pPr>
              <w:keepNext w:val="0"/>
              <w:keepLines w:val="0"/>
              <w:pageBreakBefore w:val="0"/>
              <w:kinsoku/>
              <w:overflowPunct/>
              <w:topLinePunct w:val="0"/>
              <w:autoSpaceDE/>
              <w:autoSpaceDN/>
              <w:bidi w:val="0"/>
              <w:adjustRightInd/>
              <w:snapToGrid/>
              <w:spacing w:after="200" w:line="360" w:lineRule="auto"/>
              <w:jc w:val="center"/>
              <w:rPr>
                <w:rFonts w:hint="default"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3</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6AE087B1">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全网风险评估服务</w:t>
            </w:r>
          </w:p>
        </w:tc>
        <w:tc>
          <w:tcPr>
            <w:tcW w:w="8842" w:type="dxa"/>
            <w:tcBorders>
              <w:top w:val="single" w:color="auto" w:sz="4" w:space="0"/>
              <w:left w:val="single" w:color="auto" w:sz="4" w:space="0"/>
              <w:bottom w:val="single" w:color="auto" w:sz="4" w:space="0"/>
              <w:right w:val="single" w:color="auto" w:sz="4" w:space="0"/>
            </w:tcBorders>
            <w:noWrap w:val="0"/>
            <w:vAlign w:val="center"/>
          </w:tcPr>
          <w:p w14:paraId="14568B54">
            <w:pPr>
              <w:keepNext w:val="0"/>
              <w:keepLines w:val="0"/>
              <w:pageBreakBefore w:val="0"/>
              <w:widowControl/>
              <w:numPr>
                <w:ilvl w:val="0"/>
                <w:numId w:val="7"/>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通过梳理、资产识别，建立信息系统、IT设施台账，梳理信息资产责任人、详细记录设备部署、服务配置等内容。（资产台账在定期巡检过程每季度更新）</w:t>
            </w:r>
          </w:p>
          <w:p w14:paraId="4E463E5B">
            <w:pPr>
              <w:keepNext w:val="0"/>
              <w:keepLines w:val="0"/>
              <w:pageBreakBefore w:val="0"/>
              <w:widowControl/>
              <w:numPr>
                <w:ilvl w:val="0"/>
                <w:numId w:val="7"/>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针对所有信息系统，采取漏洞扫描、渗透测试、安全基线配置核查和病毒木马专项检查等方式，全面评估网络安全的工作，识别、分析威胁、脆弱性，形成风险评估报告。</w:t>
            </w:r>
          </w:p>
          <w:p w14:paraId="4EDB0814">
            <w:pPr>
              <w:keepNext w:val="0"/>
              <w:keepLines w:val="0"/>
              <w:pageBreakBefore w:val="0"/>
              <w:widowControl/>
              <w:numPr>
                <w:ilvl w:val="0"/>
                <w:numId w:val="7"/>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评估范围包括门户网站、LIS系统、PACS系统、OA业务系统、HIS系统等，涉及机房的所有服务器、核心网络设备、安全设备等信息资产。</w:t>
            </w:r>
          </w:p>
          <w:p w14:paraId="14652C67">
            <w:pPr>
              <w:keepNext w:val="0"/>
              <w:keepLines w:val="0"/>
              <w:pageBreakBefore w:val="0"/>
              <w:widowControl/>
              <w:numPr>
                <w:ilvl w:val="0"/>
                <w:numId w:val="7"/>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业务系统相关服务器、网络设备、安全设备等信息资产的型号、登录方式及密码、管理人员</w:t>
            </w:r>
            <w:r>
              <w:rPr>
                <w:rFonts w:hint="eastAsia" w:ascii="仿宋_GB2312" w:hAnsi="仿宋_GB2312" w:eastAsia="仿宋_GB2312" w:cs="仿宋_GB2312"/>
                <w:color w:val="000000"/>
                <w:sz w:val="22"/>
                <w:szCs w:val="22"/>
                <w:lang w:eastAsia="zh-CN"/>
              </w:rPr>
              <w:t>、</w:t>
            </w:r>
            <w:r>
              <w:rPr>
                <w:rFonts w:hint="eastAsia" w:ascii="仿宋_GB2312" w:hAnsi="仿宋_GB2312" w:eastAsia="仿宋_GB2312" w:cs="仿宋_GB2312"/>
                <w:color w:val="000000"/>
                <w:sz w:val="22"/>
                <w:szCs w:val="22"/>
              </w:rPr>
              <w:t>物理位置</w:t>
            </w:r>
            <w:r>
              <w:rPr>
                <w:rFonts w:hint="eastAsia" w:ascii="仿宋_GB2312" w:hAnsi="仿宋_GB2312" w:eastAsia="仿宋_GB2312" w:cs="仿宋_GB2312"/>
                <w:color w:val="000000"/>
                <w:sz w:val="22"/>
                <w:szCs w:val="22"/>
                <w:lang w:val="en-US" w:eastAsia="zh-CN"/>
              </w:rPr>
              <w:t>等资产识别梳理</w:t>
            </w:r>
            <w:r>
              <w:rPr>
                <w:rFonts w:hint="eastAsia" w:ascii="仿宋_GB2312" w:hAnsi="仿宋_GB2312" w:eastAsia="仿宋_GB2312" w:cs="仿宋_GB2312"/>
                <w:color w:val="000000"/>
                <w:sz w:val="22"/>
                <w:szCs w:val="22"/>
              </w:rPr>
              <w:t>。</w:t>
            </w:r>
          </w:p>
          <w:p w14:paraId="433D795D">
            <w:pPr>
              <w:keepNext w:val="0"/>
              <w:keepLines w:val="0"/>
              <w:pageBreakBefore w:val="0"/>
              <w:widowControl/>
              <w:numPr>
                <w:ilvl w:val="0"/>
                <w:numId w:val="7"/>
              </w:numPr>
              <w:kinsoku/>
              <w:overflowPunct/>
              <w:topLinePunct w:val="0"/>
              <w:autoSpaceDE/>
              <w:autoSpaceDN/>
              <w:bidi w:val="0"/>
              <w:adjustRightInd/>
              <w:snapToGrid/>
              <w:spacing w:line="360" w:lineRule="auto"/>
              <w:ind w:left="425" w:leftChars="0" w:hanging="425" w:firstLineChars="0"/>
              <w:textAlignment w:val="center"/>
              <w:rPr>
                <w:rFonts w:hint="default"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z w:val="22"/>
                <w:szCs w:val="22"/>
              </w:rPr>
              <w:t>按照国家标准风险评估规范、网络安全等级保护测评等相关要求进行基线检查。</w:t>
            </w:r>
          </w:p>
        </w:tc>
      </w:tr>
      <w:tr w14:paraId="7EB82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1"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48FD60F1">
            <w:pPr>
              <w:keepNext w:val="0"/>
              <w:keepLines w:val="0"/>
              <w:pageBreakBefore w:val="0"/>
              <w:kinsoku/>
              <w:overflowPunct/>
              <w:topLinePunct w:val="0"/>
              <w:autoSpaceDE/>
              <w:autoSpaceDN/>
              <w:bidi w:val="0"/>
              <w:adjustRightInd/>
              <w:snapToGrid/>
              <w:spacing w:after="200" w:line="360" w:lineRule="auto"/>
              <w:jc w:val="center"/>
              <w:rPr>
                <w:rFonts w:hint="default"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4</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3D457E3C">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网络安全教育意识培训</w:t>
            </w:r>
          </w:p>
        </w:tc>
        <w:tc>
          <w:tcPr>
            <w:tcW w:w="8842" w:type="dxa"/>
            <w:tcBorders>
              <w:top w:val="single" w:color="auto" w:sz="4" w:space="0"/>
              <w:left w:val="single" w:color="auto" w:sz="4" w:space="0"/>
              <w:bottom w:val="single" w:color="auto" w:sz="4" w:space="0"/>
              <w:right w:val="single" w:color="auto" w:sz="4" w:space="0"/>
            </w:tcBorders>
            <w:noWrap w:val="0"/>
            <w:vAlign w:val="center"/>
          </w:tcPr>
          <w:p w14:paraId="1A601810">
            <w:pPr>
              <w:keepNext w:val="0"/>
              <w:keepLines w:val="0"/>
              <w:pageBreakBefore w:val="0"/>
              <w:kinsoku/>
              <w:overflowPunct/>
              <w:topLinePunct w:val="0"/>
              <w:autoSpaceDE/>
              <w:autoSpaceDN/>
              <w:bidi w:val="0"/>
              <w:adjustRightInd/>
              <w:snapToGrid/>
              <w:spacing w:after="200" w:line="360" w:lineRule="auto"/>
              <w:jc w:val="left"/>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z w:val="22"/>
                <w:szCs w:val="22"/>
              </w:rPr>
              <w:t>提供网络安全技术专题培训，培训主题包括但不限于：等保测评2.0解读、网络安全意识、政策、网络知识、日常安全防护、应急处置、密码应用以及网络安全管理运维等。</w:t>
            </w:r>
          </w:p>
        </w:tc>
      </w:tr>
      <w:tr w14:paraId="0E0E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2"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76D8CB8A">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5</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299E347D">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应急演练</w:t>
            </w:r>
          </w:p>
        </w:tc>
        <w:tc>
          <w:tcPr>
            <w:tcW w:w="8842" w:type="dxa"/>
            <w:tcBorders>
              <w:top w:val="single" w:color="auto" w:sz="4" w:space="0"/>
              <w:left w:val="single" w:color="auto" w:sz="4" w:space="0"/>
              <w:bottom w:val="single" w:color="auto" w:sz="4" w:space="0"/>
              <w:right w:val="single" w:color="auto" w:sz="4" w:space="0"/>
            </w:tcBorders>
            <w:noWrap w:val="0"/>
            <w:vAlign w:val="center"/>
          </w:tcPr>
          <w:p w14:paraId="6D72E5FB">
            <w:pPr>
              <w:keepNext w:val="0"/>
              <w:keepLines w:val="0"/>
              <w:pageBreakBefore w:val="0"/>
              <w:widowControl/>
              <w:numPr>
                <w:ilvl w:val="0"/>
                <w:numId w:val="8"/>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协助修订整体应急预案以及不同场景应急预案</w:t>
            </w:r>
            <w:r>
              <w:rPr>
                <w:rFonts w:hint="eastAsia" w:ascii="仿宋_GB2312" w:hAnsi="仿宋_GB2312" w:eastAsia="仿宋_GB2312" w:cs="仿宋_GB2312"/>
                <w:color w:val="000000"/>
                <w:sz w:val="22"/>
                <w:szCs w:val="22"/>
                <w:lang w:eastAsia="zh-CN"/>
              </w:rPr>
              <w:t>。</w:t>
            </w:r>
          </w:p>
          <w:p w14:paraId="24FEA061">
            <w:pPr>
              <w:keepNext w:val="0"/>
              <w:keepLines w:val="0"/>
              <w:pageBreakBefore w:val="0"/>
              <w:widowControl/>
              <w:numPr>
                <w:ilvl w:val="0"/>
                <w:numId w:val="8"/>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z w:val="22"/>
                <w:szCs w:val="22"/>
              </w:rPr>
              <w:t>每个系统可提供多种场景以上故障事件场景进行应急演练操作；根据应急预案制度应急演练方案，明确演练参与人员、工作职责及演练范围和故障事件场景；配合虚拟演练场景搭建；根据演练方案开展现场应急演练；</w:t>
            </w:r>
            <w:r>
              <w:rPr>
                <w:rFonts w:hint="eastAsia" w:ascii="仿宋_GB2312" w:hAnsi="仿宋_GB2312" w:eastAsia="仿宋_GB2312" w:cs="仿宋_GB2312"/>
                <w:color w:val="000000"/>
                <w:sz w:val="22"/>
                <w:szCs w:val="22"/>
                <w:lang w:val="en-US" w:eastAsia="zh-CN"/>
              </w:rPr>
              <w:t>出具</w:t>
            </w:r>
            <w:r>
              <w:rPr>
                <w:rFonts w:hint="eastAsia" w:ascii="仿宋_GB2312" w:hAnsi="仿宋_GB2312" w:eastAsia="仿宋_GB2312" w:cs="仿宋_GB2312"/>
                <w:color w:val="000000"/>
                <w:sz w:val="22"/>
                <w:szCs w:val="22"/>
              </w:rPr>
              <w:t>应急演练报告。</w:t>
            </w:r>
          </w:p>
        </w:tc>
      </w:tr>
      <w:tr w14:paraId="40DD1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jc w:val="center"/>
        </w:trPr>
        <w:tc>
          <w:tcPr>
            <w:tcW w:w="951" w:type="dxa"/>
            <w:tcBorders>
              <w:top w:val="single" w:color="auto" w:sz="4" w:space="0"/>
              <w:left w:val="single" w:color="auto" w:sz="4" w:space="0"/>
              <w:bottom w:val="single" w:color="auto" w:sz="4" w:space="0"/>
              <w:right w:val="single" w:color="auto" w:sz="4" w:space="0"/>
            </w:tcBorders>
            <w:noWrap w:val="0"/>
            <w:vAlign w:val="center"/>
          </w:tcPr>
          <w:p w14:paraId="349CDFF0">
            <w:pPr>
              <w:keepNext w:val="0"/>
              <w:keepLines w:val="0"/>
              <w:pageBreakBefore w:val="0"/>
              <w:kinsoku/>
              <w:overflowPunct/>
              <w:topLinePunct w:val="0"/>
              <w:autoSpaceDE/>
              <w:autoSpaceDN/>
              <w:bidi w:val="0"/>
              <w:adjustRightInd/>
              <w:snapToGrid/>
              <w:spacing w:after="200" w:line="360" w:lineRule="auto"/>
              <w:jc w:val="center"/>
              <w:rPr>
                <w:rFonts w:hint="default"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6</w:t>
            </w:r>
          </w:p>
        </w:tc>
        <w:tc>
          <w:tcPr>
            <w:tcW w:w="1320" w:type="dxa"/>
            <w:tcBorders>
              <w:top w:val="single" w:color="auto" w:sz="4" w:space="0"/>
              <w:left w:val="single" w:color="auto" w:sz="4" w:space="0"/>
              <w:bottom w:val="single" w:color="auto" w:sz="4" w:space="0"/>
              <w:right w:val="single" w:color="auto" w:sz="4" w:space="0"/>
            </w:tcBorders>
            <w:noWrap w:val="0"/>
            <w:vAlign w:val="center"/>
          </w:tcPr>
          <w:p w14:paraId="03CF543E">
            <w:pPr>
              <w:keepNext w:val="0"/>
              <w:keepLines w:val="0"/>
              <w:pageBreakBefore w:val="0"/>
              <w:kinsoku/>
              <w:overflowPunct/>
              <w:topLinePunct w:val="0"/>
              <w:autoSpaceDE/>
              <w:autoSpaceDN/>
              <w:bidi w:val="0"/>
              <w:adjustRightInd/>
              <w:snapToGrid/>
              <w:spacing w:after="200" w:line="360" w:lineRule="auto"/>
              <w:jc w:val="center"/>
              <w:rPr>
                <w:rFonts w:hint="eastAsia" w:ascii="仿宋_GB2312" w:hAnsi="仿宋_GB2312" w:eastAsia="仿宋_GB2312" w:cs="仿宋_GB2312"/>
                <w:color w:val="000000"/>
                <w:spacing w:val="-4"/>
                <w:sz w:val="22"/>
                <w:szCs w:val="22"/>
                <w:lang w:val="en-US" w:eastAsia="zh-CN"/>
              </w:rPr>
            </w:pPr>
            <w:r>
              <w:rPr>
                <w:rFonts w:hint="eastAsia" w:ascii="仿宋_GB2312" w:hAnsi="仿宋_GB2312" w:eastAsia="仿宋_GB2312" w:cs="仿宋_GB2312"/>
                <w:color w:val="000000"/>
                <w:spacing w:val="-4"/>
                <w:sz w:val="22"/>
                <w:szCs w:val="22"/>
                <w:lang w:val="en-US" w:eastAsia="zh-CN"/>
              </w:rPr>
              <w:t>应急响应</w:t>
            </w:r>
          </w:p>
        </w:tc>
        <w:tc>
          <w:tcPr>
            <w:tcW w:w="8842" w:type="dxa"/>
            <w:tcBorders>
              <w:top w:val="single" w:color="auto" w:sz="4" w:space="0"/>
              <w:left w:val="single" w:color="auto" w:sz="4" w:space="0"/>
              <w:bottom w:val="single" w:color="auto" w:sz="4" w:space="0"/>
              <w:right w:val="single" w:color="auto" w:sz="4" w:space="0"/>
            </w:tcBorders>
            <w:noWrap w:val="0"/>
            <w:vAlign w:val="center"/>
          </w:tcPr>
          <w:p w14:paraId="18F071A8">
            <w:pPr>
              <w:keepNext w:val="0"/>
              <w:keepLines w:val="0"/>
              <w:pageBreakBefore w:val="0"/>
              <w:widowControl/>
              <w:numPr>
                <w:ilvl w:val="0"/>
                <w:numId w:val="9"/>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lang w:val="en-US" w:eastAsia="zh-CN"/>
              </w:rPr>
              <w:t>提供现场及远程（非紧急时）技术支撑</w:t>
            </w:r>
            <w:r>
              <w:rPr>
                <w:rFonts w:hint="eastAsia" w:ascii="仿宋_GB2312" w:hAnsi="仿宋_GB2312" w:eastAsia="仿宋_GB2312" w:cs="仿宋_GB2312"/>
                <w:color w:val="000000"/>
                <w:sz w:val="22"/>
                <w:szCs w:val="22"/>
              </w:rPr>
              <w:t>。</w:t>
            </w:r>
          </w:p>
          <w:p w14:paraId="7C4822FE">
            <w:pPr>
              <w:keepNext w:val="0"/>
              <w:keepLines w:val="0"/>
              <w:pageBreakBefore w:val="0"/>
              <w:widowControl/>
              <w:numPr>
                <w:ilvl w:val="0"/>
                <w:numId w:val="9"/>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对上级部门网络安全预警进行排查。</w:t>
            </w:r>
          </w:p>
          <w:p w14:paraId="701F9842">
            <w:pPr>
              <w:keepNext w:val="0"/>
              <w:keepLines w:val="0"/>
              <w:pageBreakBefore w:val="0"/>
              <w:widowControl/>
              <w:numPr>
                <w:ilvl w:val="0"/>
                <w:numId w:val="9"/>
              </w:numPr>
              <w:kinsoku/>
              <w:overflowPunct/>
              <w:topLinePunct w:val="0"/>
              <w:autoSpaceDE/>
              <w:autoSpaceDN/>
              <w:bidi w:val="0"/>
              <w:adjustRightInd/>
              <w:snapToGrid/>
              <w:spacing w:line="360" w:lineRule="auto"/>
              <w:ind w:left="425" w:leftChars="0" w:hanging="425" w:firstLineChars="0"/>
              <w:textAlignment w:val="center"/>
              <w:rPr>
                <w:rFonts w:hint="eastAsia" w:ascii="仿宋_GB2312" w:hAnsi="仿宋_GB2312" w:eastAsia="仿宋_GB2312" w:cs="仿宋_GB2312"/>
                <w:color w:val="000000"/>
                <w:sz w:val="22"/>
                <w:szCs w:val="22"/>
              </w:rPr>
            </w:pPr>
            <w:r>
              <w:rPr>
                <w:rFonts w:hint="eastAsia" w:ascii="仿宋_GB2312" w:hAnsi="仿宋_GB2312" w:eastAsia="仿宋_GB2312" w:cs="仿宋_GB2312"/>
                <w:color w:val="000000"/>
                <w:sz w:val="22"/>
                <w:szCs w:val="22"/>
              </w:rPr>
              <w:t>提供应急处置报告。</w:t>
            </w:r>
          </w:p>
        </w:tc>
      </w:tr>
    </w:tbl>
    <w:p w14:paraId="16089C1A">
      <w:pPr>
        <w:tabs>
          <w:tab w:val="left" w:pos="5133"/>
        </w:tabs>
        <w:bidi w:val="0"/>
        <w:jc w:val="left"/>
        <w:rPr>
          <w:rFonts w:hint="default"/>
          <w:lang w:val="en-US" w:eastAsia="zh-CN"/>
        </w:rPr>
      </w:pPr>
    </w:p>
    <w:p w14:paraId="357A477B">
      <w:pPr>
        <w:tabs>
          <w:tab w:val="left" w:pos="5133"/>
        </w:tabs>
        <w:bidi w:val="0"/>
        <w:jc w:val="left"/>
        <w:rPr>
          <w:rFonts w:hint="default"/>
          <w:lang w:val="en-US" w:eastAsia="zh-CN"/>
        </w:rPr>
      </w:pPr>
    </w:p>
    <w:p w14:paraId="267DADE7">
      <w:pPr>
        <w:tabs>
          <w:tab w:val="left" w:pos="5133"/>
        </w:tabs>
        <w:bidi w:val="0"/>
        <w:jc w:val="left"/>
        <w:rPr>
          <w:rFonts w:hint="default"/>
          <w:lang w:val="en-US" w:eastAsia="zh-CN"/>
        </w:rPr>
      </w:pPr>
    </w:p>
    <w:p w14:paraId="2EAD6B49">
      <w:pPr>
        <w:tabs>
          <w:tab w:val="left" w:pos="5133"/>
        </w:tabs>
        <w:bidi w:val="0"/>
        <w:jc w:val="left"/>
        <w:rPr>
          <w:rFonts w:hint="default"/>
          <w:lang w:val="en-US" w:eastAsia="zh-CN"/>
        </w:rPr>
      </w:pPr>
    </w:p>
    <w:p w14:paraId="1882DE26">
      <w:pPr>
        <w:tabs>
          <w:tab w:val="left" w:pos="5133"/>
        </w:tabs>
        <w:bidi w:val="0"/>
        <w:jc w:val="left"/>
        <w:rPr>
          <w:rFonts w:hint="default"/>
          <w:lang w:val="en-US" w:eastAsia="zh-CN"/>
        </w:rPr>
      </w:pPr>
    </w:p>
    <w:p w14:paraId="2969A195">
      <w:pPr>
        <w:tabs>
          <w:tab w:val="left" w:pos="5133"/>
        </w:tabs>
        <w:bidi w:val="0"/>
        <w:jc w:val="left"/>
        <w:rPr>
          <w:rFonts w:hint="default"/>
          <w:lang w:val="en-US" w:eastAsia="zh-CN"/>
        </w:rPr>
      </w:pPr>
    </w:p>
    <w:p w14:paraId="5C478B4A">
      <w:pPr>
        <w:tabs>
          <w:tab w:val="left" w:pos="5133"/>
        </w:tabs>
        <w:bidi w:val="0"/>
        <w:jc w:val="left"/>
        <w:rPr>
          <w:rFonts w:hint="default"/>
          <w:lang w:val="en-US" w:eastAsia="zh-CN"/>
        </w:rPr>
      </w:pPr>
    </w:p>
    <w:p w14:paraId="5C7071C0">
      <w:pPr>
        <w:tabs>
          <w:tab w:val="left" w:pos="5133"/>
        </w:tabs>
        <w:bidi w:val="0"/>
        <w:jc w:val="left"/>
        <w:rPr>
          <w:rFonts w:hint="default"/>
          <w:lang w:val="en-US" w:eastAsia="zh-CN"/>
        </w:rPr>
      </w:pPr>
    </w:p>
    <w:p w14:paraId="627E92BA">
      <w:pPr>
        <w:tabs>
          <w:tab w:val="left" w:pos="5133"/>
        </w:tabs>
        <w:bidi w:val="0"/>
        <w:jc w:val="left"/>
        <w:rPr>
          <w:rFonts w:hint="default"/>
          <w:lang w:val="en-US" w:eastAsia="zh-CN"/>
        </w:rPr>
      </w:pPr>
    </w:p>
    <w:p w14:paraId="3BDB48F3">
      <w:pPr>
        <w:tabs>
          <w:tab w:val="left" w:pos="5133"/>
        </w:tabs>
        <w:bidi w:val="0"/>
        <w:jc w:val="left"/>
        <w:rPr>
          <w:rFonts w:hint="default"/>
          <w:lang w:val="en-US" w:eastAsia="zh-CN"/>
        </w:rPr>
      </w:pPr>
    </w:p>
    <w:p w14:paraId="73C59A10">
      <w:pPr>
        <w:tabs>
          <w:tab w:val="left" w:pos="5133"/>
        </w:tabs>
        <w:bidi w:val="0"/>
        <w:jc w:val="left"/>
        <w:rPr>
          <w:rFonts w:hint="default"/>
          <w:lang w:val="en-US" w:eastAsia="zh-CN"/>
        </w:rPr>
      </w:pPr>
    </w:p>
    <w:p w14:paraId="0169079F">
      <w:pPr>
        <w:tabs>
          <w:tab w:val="left" w:pos="5133"/>
        </w:tabs>
        <w:bidi w:val="0"/>
        <w:jc w:val="left"/>
        <w:rPr>
          <w:rFonts w:hint="default"/>
          <w:lang w:val="en-US" w:eastAsia="zh-CN"/>
        </w:rPr>
      </w:pPr>
    </w:p>
    <w:p w14:paraId="2ED3ED94">
      <w:pPr>
        <w:tabs>
          <w:tab w:val="left" w:pos="5133"/>
        </w:tabs>
        <w:bidi w:val="0"/>
        <w:jc w:val="left"/>
        <w:rPr>
          <w:rFonts w:hint="default"/>
          <w:lang w:val="en-US" w:eastAsia="zh-CN"/>
        </w:rPr>
      </w:pPr>
    </w:p>
    <w:p w14:paraId="2FE767A7">
      <w:pPr>
        <w:tabs>
          <w:tab w:val="left" w:pos="5133"/>
        </w:tabs>
        <w:bidi w:val="0"/>
        <w:jc w:val="left"/>
        <w:rPr>
          <w:rFonts w:hint="default"/>
          <w:lang w:val="en-US" w:eastAsia="zh-CN"/>
        </w:rPr>
      </w:pPr>
    </w:p>
    <w:p w14:paraId="61113211">
      <w:pPr>
        <w:tabs>
          <w:tab w:val="left" w:pos="5133"/>
        </w:tabs>
        <w:bidi w:val="0"/>
        <w:jc w:val="left"/>
        <w:rPr>
          <w:rFonts w:hint="default"/>
          <w:lang w:val="en-US" w:eastAsia="zh-CN"/>
        </w:rPr>
      </w:pPr>
    </w:p>
    <w:p w14:paraId="07D87D3E">
      <w:pPr>
        <w:tabs>
          <w:tab w:val="left" w:pos="5133"/>
        </w:tabs>
        <w:bidi w:val="0"/>
        <w:jc w:val="left"/>
        <w:rPr>
          <w:rFonts w:hint="default"/>
          <w:lang w:val="en-US" w:eastAsia="zh-CN"/>
        </w:rPr>
      </w:pPr>
    </w:p>
    <w:p w14:paraId="1F148FF0">
      <w:pPr>
        <w:tabs>
          <w:tab w:val="left" w:pos="5133"/>
        </w:tabs>
        <w:bidi w:val="0"/>
        <w:jc w:val="left"/>
        <w:rPr>
          <w:rFonts w:hint="default"/>
          <w:lang w:val="en-US" w:eastAsia="zh-CN"/>
        </w:rPr>
      </w:pPr>
    </w:p>
    <w:p w14:paraId="762B0FD2">
      <w:pPr>
        <w:tabs>
          <w:tab w:val="left" w:pos="5133"/>
        </w:tabs>
        <w:bidi w:val="0"/>
        <w:jc w:val="left"/>
        <w:rPr>
          <w:rFonts w:hint="default"/>
          <w:lang w:val="en-US" w:eastAsia="zh-CN"/>
        </w:rPr>
      </w:pPr>
    </w:p>
    <w:p w14:paraId="158CA08C">
      <w:pPr>
        <w:tabs>
          <w:tab w:val="left" w:pos="5133"/>
        </w:tabs>
        <w:bidi w:val="0"/>
        <w:jc w:val="left"/>
        <w:rPr>
          <w:rFonts w:hint="default"/>
          <w:lang w:val="en-US" w:eastAsia="zh-CN"/>
        </w:rPr>
      </w:pPr>
    </w:p>
    <w:p w14:paraId="09E630A1">
      <w:pPr>
        <w:tabs>
          <w:tab w:val="left" w:pos="5133"/>
        </w:tabs>
        <w:bidi w:val="0"/>
        <w:jc w:val="left"/>
        <w:rPr>
          <w:rFonts w:hint="default"/>
          <w:lang w:val="en-US" w:eastAsia="zh-CN"/>
        </w:rPr>
      </w:pPr>
    </w:p>
    <w:p w14:paraId="25D4CA46">
      <w:pPr>
        <w:tabs>
          <w:tab w:val="left" w:pos="5133"/>
        </w:tabs>
        <w:bidi w:val="0"/>
        <w:jc w:val="left"/>
        <w:rPr>
          <w:rFonts w:hint="default"/>
          <w:lang w:val="en-US" w:eastAsia="zh-CN"/>
        </w:rPr>
      </w:pPr>
    </w:p>
    <w:p w14:paraId="7983C26E">
      <w:pPr>
        <w:tabs>
          <w:tab w:val="left" w:pos="5133"/>
        </w:tabs>
        <w:bidi w:val="0"/>
        <w:jc w:val="left"/>
        <w:rPr>
          <w:rFonts w:hint="default"/>
          <w:lang w:val="en-US" w:eastAsia="zh-CN"/>
        </w:rPr>
      </w:pPr>
    </w:p>
    <w:p w14:paraId="6B3B1903">
      <w:pPr>
        <w:tabs>
          <w:tab w:val="left" w:pos="5133"/>
        </w:tabs>
        <w:bidi w:val="0"/>
        <w:jc w:val="left"/>
        <w:rPr>
          <w:rFonts w:hint="default"/>
          <w:lang w:val="en-US" w:eastAsia="zh-CN"/>
        </w:rPr>
      </w:pPr>
    </w:p>
    <w:p w14:paraId="76F7FF1D">
      <w:pPr>
        <w:tabs>
          <w:tab w:val="left" w:pos="5133"/>
        </w:tabs>
        <w:bidi w:val="0"/>
        <w:jc w:val="left"/>
        <w:rPr>
          <w:rFonts w:hint="default"/>
          <w:lang w:val="en-US" w:eastAsia="zh-CN"/>
        </w:rPr>
      </w:pPr>
    </w:p>
    <w:p w14:paraId="62FE60FD">
      <w:pPr>
        <w:tabs>
          <w:tab w:val="left" w:pos="5133"/>
        </w:tabs>
        <w:bidi w:val="0"/>
        <w:jc w:val="left"/>
        <w:rPr>
          <w:rFonts w:hint="default"/>
          <w:lang w:val="en-US" w:eastAsia="zh-CN"/>
        </w:rPr>
      </w:pPr>
    </w:p>
    <w:p w14:paraId="39EA5F40">
      <w:pPr>
        <w:tabs>
          <w:tab w:val="left" w:pos="5133"/>
        </w:tabs>
        <w:bidi w:val="0"/>
        <w:jc w:val="left"/>
        <w:rPr>
          <w:rFonts w:hint="default"/>
          <w:lang w:val="en-US" w:eastAsia="zh-CN"/>
        </w:rPr>
      </w:pPr>
    </w:p>
    <w:p w14:paraId="7E38F0BA">
      <w:pPr>
        <w:tabs>
          <w:tab w:val="left" w:pos="5133"/>
        </w:tabs>
        <w:bidi w:val="0"/>
        <w:jc w:val="left"/>
        <w:rPr>
          <w:rFonts w:hint="default"/>
          <w:lang w:val="en-US" w:eastAsia="zh-CN"/>
        </w:rPr>
      </w:pPr>
    </w:p>
    <w:p w14:paraId="7B992123">
      <w:pPr>
        <w:tabs>
          <w:tab w:val="left" w:pos="5133"/>
        </w:tabs>
        <w:bidi w:val="0"/>
        <w:jc w:val="left"/>
        <w:rPr>
          <w:rFonts w:hint="default"/>
          <w:lang w:val="en-US" w:eastAsia="zh-CN"/>
        </w:rPr>
      </w:pPr>
    </w:p>
    <w:p w14:paraId="0AA45D56">
      <w:pPr>
        <w:tabs>
          <w:tab w:val="left" w:pos="5133"/>
        </w:tabs>
        <w:bidi w:val="0"/>
        <w:jc w:val="left"/>
        <w:rPr>
          <w:rFonts w:hint="default"/>
          <w:lang w:val="en-US" w:eastAsia="zh-CN"/>
        </w:rPr>
      </w:pPr>
    </w:p>
    <w:p w14:paraId="03A648BB">
      <w:pPr>
        <w:tabs>
          <w:tab w:val="left" w:pos="5133"/>
        </w:tabs>
        <w:bidi w:val="0"/>
        <w:jc w:val="left"/>
        <w:rPr>
          <w:rFonts w:hint="default"/>
          <w:lang w:val="en-US" w:eastAsia="zh-CN"/>
        </w:rPr>
      </w:pPr>
    </w:p>
    <w:p w14:paraId="7406DBFC">
      <w:pPr>
        <w:tabs>
          <w:tab w:val="left" w:pos="5133"/>
        </w:tabs>
        <w:bidi w:val="0"/>
        <w:jc w:val="left"/>
        <w:rPr>
          <w:rFonts w:hint="default"/>
          <w:lang w:val="en-US" w:eastAsia="zh-CN"/>
        </w:rPr>
      </w:pPr>
    </w:p>
    <w:p w14:paraId="56927F94">
      <w:pPr>
        <w:tabs>
          <w:tab w:val="left" w:pos="5133"/>
        </w:tabs>
        <w:bidi w:val="0"/>
        <w:jc w:val="left"/>
        <w:rPr>
          <w:rFonts w:hint="default"/>
          <w:lang w:val="en-US" w:eastAsia="zh-CN"/>
        </w:rPr>
      </w:pPr>
    </w:p>
    <w:p w14:paraId="422D94FF">
      <w:pPr>
        <w:pStyle w:val="8"/>
        <w:spacing w:before="0" w:beforeAutospacing="0" w:after="0" w:afterAutospacing="0" w:line="440" w:lineRule="exact"/>
        <w:jc w:val="left"/>
        <w:rPr>
          <w:rFonts w:hint="default" w:ascii="仿宋" w:hAnsi="仿宋" w:eastAsia="仿宋" w:cs="宋体"/>
          <w:bCs/>
          <w:sz w:val="28"/>
          <w:szCs w:val="28"/>
          <w:lang w:val="en-US" w:eastAsia="zh-CN"/>
        </w:rPr>
      </w:pPr>
      <w:r>
        <w:rPr>
          <w:rFonts w:hint="eastAsia" w:ascii="仿宋" w:hAnsi="仿宋" w:eastAsia="仿宋" w:cs="宋体"/>
          <w:bCs/>
          <w:sz w:val="28"/>
          <w:szCs w:val="28"/>
          <w:lang w:val="en-US" w:eastAsia="zh-CN"/>
        </w:rPr>
        <w:t>附件3：技术参数偏离表（模板）</w:t>
      </w:r>
    </w:p>
    <w:p w14:paraId="19901C50">
      <w:pPr>
        <w:keepNext w:val="0"/>
        <w:keepLines w:val="0"/>
        <w:widowControl/>
        <w:suppressLineNumbers w:val="0"/>
        <w:spacing w:line="240" w:lineRule="auto"/>
        <w:jc w:val="center"/>
        <w:rPr>
          <w:rFonts w:hint="default" w:cs="宋体"/>
          <w:b/>
          <w:bCs/>
          <w:sz w:val="30"/>
          <w:szCs w:val="30"/>
          <w:lang w:val="en-US" w:eastAsia="zh-CN"/>
        </w:rPr>
      </w:pPr>
    </w:p>
    <w:p w14:paraId="44770305">
      <w:pPr>
        <w:keepNext w:val="0"/>
        <w:keepLines w:val="0"/>
        <w:widowControl/>
        <w:suppressLineNumbers w:val="0"/>
        <w:spacing w:line="240" w:lineRule="auto"/>
        <w:jc w:val="center"/>
        <w:rPr>
          <w:rFonts w:hint="default" w:cs="宋体"/>
          <w:b/>
          <w:bCs/>
          <w:sz w:val="30"/>
          <w:szCs w:val="30"/>
          <w:lang w:val="en-US" w:eastAsia="zh-CN"/>
        </w:rPr>
      </w:pPr>
      <w:r>
        <w:rPr>
          <w:rFonts w:hint="default" w:cs="宋体"/>
          <w:b/>
          <w:bCs/>
          <w:sz w:val="30"/>
          <w:szCs w:val="30"/>
          <w:lang w:val="en-US" w:eastAsia="zh-CN"/>
        </w:rPr>
        <w:t>技术参数响应及偏离表</w:t>
      </w:r>
    </w:p>
    <w:p w14:paraId="5074C8C5">
      <w:pPr>
        <w:keepNext w:val="0"/>
        <w:keepLines w:val="0"/>
        <w:widowControl/>
        <w:suppressLineNumbers w:val="0"/>
        <w:spacing w:line="240" w:lineRule="auto"/>
        <w:jc w:val="center"/>
        <w:rPr>
          <w:rFonts w:hint="default" w:cs="宋体"/>
          <w:b w:val="0"/>
          <w:bCs w:val="0"/>
          <w:sz w:val="28"/>
          <w:szCs w:val="28"/>
          <w:lang w:val="en-US" w:eastAsia="zh-CN"/>
        </w:rPr>
      </w:pPr>
      <w:r>
        <w:rPr>
          <w:rFonts w:hint="default" w:cs="宋体"/>
          <w:b w:val="0"/>
          <w:bCs w:val="0"/>
          <w:sz w:val="28"/>
          <w:szCs w:val="28"/>
          <w:lang w:val="en-US" w:eastAsia="zh-CN"/>
        </w:rPr>
        <w:t>(由投标人据实</w:t>
      </w:r>
      <w:r>
        <w:rPr>
          <w:rFonts w:hint="eastAsia" w:cs="宋体"/>
          <w:b w:val="0"/>
          <w:bCs w:val="0"/>
          <w:sz w:val="28"/>
          <w:szCs w:val="28"/>
          <w:lang w:val="en-US" w:eastAsia="zh-CN"/>
        </w:rPr>
        <w:t>填写</w:t>
      </w:r>
      <w:r>
        <w:rPr>
          <w:rFonts w:hint="default" w:cs="宋体"/>
          <w:b w:val="0"/>
          <w:bCs w:val="0"/>
          <w:sz w:val="28"/>
          <w:szCs w:val="28"/>
          <w:lang w:val="en-US" w:eastAsia="zh-CN"/>
        </w:rPr>
        <w:t>)</w:t>
      </w:r>
    </w:p>
    <w:tbl>
      <w:tblPr>
        <w:tblStyle w:val="11"/>
        <w:tblW w:w="11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3"/>
        <w:gridCol w:w="3575"/>
        <w:gridCol w:w="2825"/>
        <w:gridCol w:w="2075"/>
        <w:gridCol w:w="1637"/>
      </w:tblGrid>
      <w:tr w14:paraId="58399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3" w:hRule="atLeast"/>
          <w:jc w:val="center"/>
        </w:trPr>
        <w:tc>
          <w:tcPr>
            <w:tcW w:w="1113" w:type="dxa"/>
            <w:vAlign w:val="center"/>
          </w:tcPr>
          <w:p w14:paraId="19E8C0A6">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序号</w:t>
            </w:r>
          </w:p>
        </w:tc>
        <w:tc>
          <w:tcPr>
            <w:tcW w:w="3575" w:type="dxa"/>
            <w:vAlign w:val="center"/>
          </w:tcPr>
          <w:p w14:paraId="2DCFEFEF">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招标产品要求参数</w:t>
            </w:r>
          </w:p>
        </w:tc>
        <w:tc>
          <w:tcPr>
            <w:tcW w:w="2825" w:type="dxa"/>
            <w:vAlign w:val="center"/>
          </w:tcPr>
          <w:p w14:paraId="034AA822">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投标产品实际参数</w:t>
            </w:r>
          </w:p>
        </w:tc>
        <w:tc>
          <w:tcPr>
            <w:tcW w:w="2075" w:type="dxa"/>
            <w:vAlign w:val="center"/>
          </w:tcPr>
          <w:p w14:paraId="53447DEC">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符合/正偏离/负偏离</w:t>
            </w:r>
          </w:p>
        </w:tc>
        <w:tc>
          <w:tcPr>
            <w:tcW w:w="1637" w:type="dxa"/>
            <w:vAlign w:val="center"/>
          </w:tcPr>
          <w:p w14:paraId="34158E94">
            <w:pPr>
              <w:keepNext w:val="0"/>
              <w:keepLines w:val="0"/>
              <w:widowControl/>
              <w:suppressLineNumbers w:val="0"/>
              <w:spacing w:line="240" w:lineRule="auto"/>
              <w:jc w:val="center"/>
              <w:rPr>
                <w:rFonts w:hint="default" w:cs="宋体"/>
                <w:b w:val="0"/>
                <w:bCs w:val="0"/>
                <w:sz w:val="21"/>
                <w:szCs w:val="21"/>
                <w:vertAlign w:val="baseline"/>
                <w:lang w:val="en-US" w:eastAsia="zh-CN"/>
              </w:rPr>
            </w:pPr>
            <w:r>
              <w:rPr>
                <w:rFonts w:hint="default" w:cs="宋体"/>
                <w:b w:val="0"/>
                <w:bCs w:val="0"/>
                <w:sz w:val="21"/>
                <w:szCs w:val="21"/>
                <w:lang w:val="en-US" w:eastAsia="zh-CN"/>
              </w:rPr>
              <w:t>备注</w:t>
            </w:r>
          </w:p>
        </w:tc>
      </w:tr>
      <w:tr w14:paraId="7C158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3" w:type="dxa"/>
          </w:tcPr>
          <w:p w14:paraId="475169C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3575" w:type="dxa"/>
          </w:tcPr>
          <w:p w14:paraId="2A9CE7E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825" w:type="dxa"/>
          </w:tcPr>
          <w:p w14:paraId="781C266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075" w:type="dxa"/>
          </w:tcPr>
          <w:p w14:paraId="445D1871">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637" w:type="dxa"/>
          </w:tcPr>
          <w:p w14:paraId="6840B29C">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7190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3" w:type="dxa"/>
          </w:tcPr>
          <w:p w14:paraId="39F762F0">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3575" w:type="dxa"/>
          </w:tcPr>
          <w:p w14:paraId="6AEF4F5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825" w:type="dxa"/>
          </w:tcPr>
          <w:p w14:paraId="7BD627F4">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075" w:type="dxa"/>
          </w:tcPr>
          <w:p w14:paraId="6303A5A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637" w:type="dxa"/>
          </w:tcPr>
          <w:p w14:paraId="5C943C4A">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2405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3" w:type="dxa"/>
          </w:tcPr>
          <w:p w14:paraId="1B48C215">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3575" w:type="dxa"/>
          </w:tcPr>
          <w:p w14:paraId="075CEB9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825" w:type="dxa"/>
          </w:tcPr>
          <w:p w14:paraId="76646678">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075" w:type="dxa"/>
          </w:tcPr>
          <w:p w14:paraId="3041248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637" w:type="dxa"/>
          </w:tcPr>
          <w:p w14:paraId="1DEA4371">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60E63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3" w:type="dxa"/>
          </w:tcPr>
          <w:p w14:paraId="2348AB3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3575" w:type="dxa"/>
          </w:tcPr>
          <w:p w14:paraId="3341502D">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825" w:type="dxa"/>
          </w:tcPr>
          <w:p w14:paraId="254C1C9E">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2075" w:type="dxa"/>
          </w:tcPr>
          <w:p w14:paraId="3273617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637" w:type="dxa"/>
          </w:tcPr>
          <w:p w14:paraId="3DD069F4">
            <w:pPr>
              <w:keepNext w:val="0"/>
              <w:keepLines w:val="0"/>
              <w:widowControl/>
              <w:suppressLineNumbers w:val="0"/>
              <w:spacing w:line="240" w:lineRule="auto"/>
              <w:jc w:val="left"/>
              <w:rPr>
                <w:rFonts w:hint="default" w:cs="宋体"/>
                <w:b/>
                <w:bCs/>
                <w:sz w:val="30"/>
                <w:szCs w:val="30"/>
                <w:vertAlign w:val="baseline"/>
                <w:lang w:val="en-US" w:eastAsia="zh-CN"/>
              </w:rPr>
            </w:pPr>
          </w:p>
        </w:tc>
      </w:tr>
      <w:tr w14:paraId="15157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13" w:type="dxa"/>
          </w:tcPr>
          <w:p w14:paraId="70162AA3">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3575" w:type="dxa"/>
          </w:tcPr>
          <w:p w14:paraId="4C442F5B">
            <w:pPr>
              <w:keepNext w:val="0"/>
              <w:keepLines w:val="0"/>
              <w:widowControl/>
              <w:suppressLineNumbers w:val="0"/>
              <w:spacing w:line="240" w:lineRule="auto"/>
              <w:jc w:val="center"/>
              <w:rPr>
                <w:rFonts w:hint="default" w:cs="宋体"/>
                <w:b/>
                <w:bCs/>
                <w:sz w:val="21"/>
                <w:szCs w:val="21"/>
                <w:lang w:val="en-US" w:eastAsia="zh-CN"/>
              </w:rPr>
            </w:pPr>
            <w:r>
              <w:rPr>
                <w:rFonts w:hint="eastAsia" w:cs="宋体"/>
                <w:b/>
                <w:bCs/>
                <w:sz w:val="21"/>
                <w:szCs w:val="21"/>
                <w:lang w:val="en-US" w:eastAsia="zh-CN"/>
              </w:rPr>
              <w:t>（根据需要自行增加行、列）</w:t>
            </w:r>
          </w:p>
        </w:tc>
        <w:tc>
          <w:tcPr>
            <w:tcW w:w="2825" w:type="dxa"/>
          </w:tcPr>
          <w:p w14:paraId="148F7E08">
            <w:pPr>
              <w:keepNext w:val="0"/>
              <w:keepLines w:val="0"/>
              <w:widowControl/>
              <w:suppressLineNumbers w:val="0"/>
              <w:spacing w:line="240" w:lineRule="auto"/>
              <w:jc w:val="center"/>
              <w:rPr>
                <w:rFonts w:hint="default" w:cs="宋体"/>
                <w:b/>
                <w:bCs/>
                <w:sz w:val="21"/>
                <w:szCs w:val="21"/>
                <w:lang w:val="en-US" w:eastAsia="zh-CN"/>
              </w:rPr>
            </w:pPr>
          </w:p>
        </w:tc>
        <w:tc>
          <w:tcPr>
            <w:tcW w:w="2075" w:type="dxa"/>
          </w:tcPr>
          <w:p w14:paraId="3F38BE0C">
            <w:pPr>
              <w:keepNext w:val="0"/>
              <w:keepLines w:val="0"/>
              <w:widowControl/>
              <w:suppressLineNumbers w:val="0"/>
              <w:spacing w:line="240" w:lineRule="auto"/>
              <w:jc w:val="left"/>
              <w:rPr>
                <w:rFonts w:hint="default" w:cs="宋体"/>
                <w:b/>
                <w:bCs/>
                <w:sz w:val="30"/>
                <w:szCs w:val="30"/>
                <w:vertAlign w:val="baseline"/>
                <w:lang w:val="en-US" w:eastAsia="zh-CN"/>
              </w:rPr>
            </w:pPr>
          </w:p>
        </w:tc>
        <w:tc>
          <w:tcPr>
            <w:tcW w:w="1637" w:type="dxa"/>
          </w:tcPr>
          <w:p w14:paraId="475AFBF6">
            <w:pPr>
              <w:keepNext w:val="0"/>
              <w:keepLines w:val="0"/>
              <w:widowControl/>
              <w:suppressLineNumbers w:val="0"/>
              <w:spacing w:line="240" w:lineRule="auto"/>
              <w:jc w:val="left"/>
              <w:rPr>
                <w:rFonts w:hint="default" w:cs="宋体"/>
                <w:b/>
                <w:bCs/>
                <w:sz w:val="30"/>
                <w:szCs w:val="30"/>
                <w:vertAlign w:val="baseline"/>
                <w:lang w:val="en-US" w:eastAsia="zh-CN"/>
              </w:rPr>
            </w:pPr>
          </w:p>
        </w:tc>
      </w:tr>
    </w:tbl>
    <w:p w14:paraId="6A009724">
      <w:pPr>
        <w:keepNext w:val="0"/>
        <w:keepLines w:val="0"/>
        <w:widowControl/>
        <w:suppressLineNumbers w:val="0"/>
        <w:spacing w:line="240" w:lineRule="auto"/>
        <w:jc w:val="left"/>
        <w:rPr>
          <w:rFonts w:hint="default" w:ascii="宋体" w:hAnsi="宋体" w:eastAsia="宋体" w:cs="宋体"/>
          <w:color w:val="000000"/>
          <w:kern w:val="0"/>
          <w:sz w:val="24"/>
          <w:szCs w:val="24"/>
          <w:lang w:val="en-US" w:eastAsia="zh-CN" w:bidi="ar"/>
        </w:rPr>
      </w:pPr>
    </w:p>
    <w:p w14:paraId="31605908">
      <w:pPr>
        <w:tabs>
          <w:tab w:val="left" w:pos="5133"/>
        </w:tabs>
        <w:bidi w:val="0"/>
        <w:jc w:val="left"/>
        <w:rPr>
          <w:rFonts w:hint="default" w:ascii="仿宋" w:hAnsi="仿宋" w:eastAsia="仿宋"/>
          <w:bCs/>
          <w:sz w:val="28"/>
          <w:szCs w:val="28"/>
          <w:lang w:val="en-US" w:eastAsia="zh-CN"/>
        </w:rPr>
      </w:pPr>
    </w:p>
    <w:sectPr>
      <w:pgSz w:w="11906" w:h="16838"/>
      <w:pgMar w:top="1134" w:right="1800" w:bottom="1134"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FangSong_GB2312">
    <w:altName w:val="仿宋_GB2312"/>
    <w:panose1 w:val="02010609060101010101"/>
    <w:charset w:val="86"/>
    <w:family w:val="modern"/>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06E7B2"/>
    <w:multiLevelType w:val="multilevel"/>
    <w:tmpl w:val="8D06E7B2"/>
    <w:lvl w:ilvl="0" w:tentative="0">
      <w:start w:val="1"/>
      <w:numFmt w:val="decimal"/>
      <w:suff w:val="nothing"/>
      <w:lvlText w:val="%1、"/>
      <w:lvlJc w:val="left"/>
      <w:pPr>
        <w:ind w:left="0" w:firstLine="403"/>
      </w:pPr>
      <w:rPr>
        <w:rFonts w:hint="default"/>
      </w:rPr>
    </w:lvl>
    <w:lvl w:ilvl="1" w:tentative="0">
      <w:start w:val="1"/>
      <w:numFmt w:val="decimal"/>
      <w:lvlText w:val="(%2)"/>
      <w:lvlJc w:val="left"/>
      <w:pPr>
        <w:tabs>
          <w:tab w:val="left" w:pos="840"/>
        </w:tabs>
        <w:ind w:left="1243" w:hanging="420"/>
      </w:pPr>
      <w:rPr>
        <w:rFonts w:hint="default"/>
      </w:rPr>
    </w:lvl>
    <w:lvl w:ilvl="2" w:tentative="0">
      <w:start w:val="1"/>
      <w:numFmt w:val="decimalEnclosedCircleChinese"/>
      <w:lvlText w:val="%3"/>
      <w:lvlJc w:val="left"/>
      <w:pPr>
        <w:tabs>
          <w:tab w:val="left" w:pos="1260"/>
        </w:tabs>
        <w:ind w:left="1663" w:hanging="420"/>
      </w:pPr>
      <w:rPr>
        <w:rFonts w:hint="default"/>
      </w:rPr>
    </w:lvl>
    <w:lvl w:ilvl="3" w:tentative="0">
      <w:start w:val="1"/>
      <w:numFmt w:val="decimal"/>
      <w:lvlText w:val="%4)"/>
      <w:lvlJc w:val="left"/>
      <w:pPr>
        <w:tabs>
          <w:tab w:val="left" w:pos="1680"/>
        </w:tabs>
        <w:ind w:left="2083" w:hanging="420"/>
      </w:pPr>
      <w:rPr>
        <w:rFonts w:hint="default"/>
      </w:rPr>
    </w:lvl>
    <w:lvl w:ilvl="4" w:tentative="0">
      <w:start w:val="1"/>
      <w:numFmt w:val="lowerLetter"/>
      <w:lvlText w:val="%5."/>
      <w:lvlJc w:val="left"/>
      <w:pPr>
        <w:tabs>
          <w:tab w:val="left" w:pos="2100"/>
        </w:tabs>
        <w:ind w:left="2503" w:hanging="420"/>
      </w:pPr>
      <w:rPr>
        <w:rFonts w:hint="default"/>
      </w:rPr>
    </w:lvl>
    <w:lvl w:ilvl="5" w:tentative="0">
      <w:start w:val="1"/>
      <w:numFmt w:val="lowerLetter"/>
      <w:lvlText w:val="%6)"/>
      <w:lvlJc w:val="left"/>
      <w:pPr>
        <w:tabs>
          <w:tab w:val="left" w:pos="2520"/>
        </w:tabs>
        <w:ind w:left="2923" w:hanging="420"/>
      </w:pPr>
      <w:rPr>
        <w:rFonts w:hint="default"/>
      </w:rPr>
    </w:lvl>
    <w:lvl w:ilvl="6" w:tentative="0">
      <w:start w:val="1"/>
      <w:numFmt w:val="lowerRoman"/>
      <w:lvlText w:val="%7."/>
      <w:lvlJc w:val="left"/>
      <w:pPr>
        <w:tabs>
          <w:tab w:val="left" w:pos="2940"/>
        </w:tabs>
        <w:ind w:left="3343" w:hanging="420"/>
      </w:pPr>
      <w:rPr>
        <w:rFonts w:hint="default"/>
      </w:rPr>
    </w:lvl>
    <w:lvl w:ilvl="7" w:tentative="0">
      <w:start w:val="1"/>
      <w:numFmt w:val="lowerRoman"/>
      <w:lvlText w:val="%8)"/>
      <w:lvlJc w:val="left"/>
      <w:pPr>
        <w:tabs>
          <w:tab w:val="left" w:pos="3360"/>
        </w:tabs>
        <w:ind w:left="3763" w:hanging="420"/>
      </w:pPr>
      <w:rPr>
        <w:rFonts w:hint="default"/>
      </w:rPr>
    </w:lvl>
    <w:lvl w:ilvl="8" w:tentative="0">
      <w:start w:val="1"/>
      <w:numFmt w:val="lowerLetter"/>
      <w:lvlText w:val="%9."/>
      <w:lvlJc w:val="left"/>
      <w:pPr>
        <w:tabs>
          <w:tab w:val="left" w:pos="3780"/>
        </w:tabs>
        <w:ind w:left="4183" w:hanging="420"/>
      </w:pPr>
      <w:rPr>
        <w:rFonts w:hint="default"/>
      </w:rPr>
    </w:lvl>
  </w:abstractNum>
  <w:abstractNum w:abstractNumId="1">
    <w:nsid w:val="B44C193E"/>
    <w:multiLevelType w:val="multilevel"/>
    <w:tmpl w:val="B44C193E"/>
    <w:lvl w:ilvl="0" w:tentative="0">
      <w:start w:val="1"/>
      <w:numFmt w:val="decimal"/>
      <w:suff w:val="nothing"/>
      <w:lvlText w:val="%1、"/>
      <w:lvlJc w:val="left"/>
      <w:pPr>
        <w:ind w:left="0" w:firstLine="403"/>
      </w:pPr>
      <w:rPr>
        <w:rFonts w:hint="default"/>
      </w:rPr>
    </w:lvl>
    <w:lvl w:ilvl="1" w:tentative="0">
      <w:start w:val="1"/>
      <w:numFmt w:val="decimal"/>
      <w:lvlText w:val="(%2)"/>
      <w:lvlJc w:val="left"/>
      <w:pPr>
        <w:tabs>
          <w:tab w:val="left" w:pos="840"/>
        </w:tabs>
        <w:ind w:left="1243" w:hanging="420"/>
      </w:pPr>
      <w:rPr>
        <w:rFonts w:hint="default"/>
      </w:rPr>
    </w:lvl>
    <w:lvl w:ilvl="2" w:tentative="0">
      <w:start w:val="1"/>
      <w:numFmt w:val="decimalEnclosedCircleChinese"/>
      <w:lvlText w:val="%3"/>
      <w:lvlJc w:val="left"/>
      <w:pPr>
        <w:tabs>
          <w:tab w:val="left" w:pos="1260"/>
        </w:tabs>
        <w:ind w:left="1663" w:hanging="420"/>
      </w:pPr>
      <w:rPr>
        <w:rFonts w:hint="default"/>
      </w:rPr>
    </w:lvl>
    <w:lvl w:ilvl="3" w:tentative="0">
      <w:start w:val="1"/>
      <w:numFmt w:val="decimal"/>
      <w:lvlText w:val="%4)"/>
      <w:lvlJc w:val="left"/>
      <w:pPr>
        <w:tabs>
          <w:tab w:val="left" w:pos="1680"/>
        </w:tabs>
        <w:ind w:left="2083" w:hanging="420"/>
      </w:pPr>
      <w:rPr>
        <w:rFonts w:hint="default"/>
      </w:rPr>
    </w:lvl>
    <w:lvl w:ilvl="4" w:tentative="0">
      <w:start w:val="1"/>
      <w:numFmt w:val="lowerLetter"/>
      <w:lvlText w:val="%5."/>
      <w:lvlJc w:val="left"/>
      <w:pPr>
        <w:tabs>
          <w:tab w:val="left" w:pos="2100"/>
        </w:tabs>
        <w:ind w:left="2503" w:hanging="420"/>
      </w:pPr>
      <w:rPr>
        <w:rFonts w:hint="default"/>
      </w:rPr>
    </w:lvl>
    <w:lvl w:ilvl="5" w:tentative="0">
      <w:start w:val="1"/>
      <w:numFmt w:val="lowerLetter"/>
      <w:lvlText w:val="%6)"/>
      <w:lvlJc w:val="left"/>
      <w:pPr>
        <w:tabs>
          <w:tab w:val="left" w:pos="2520"/>
        </w:tabs>
        <w:ind w:left="2923" w:hanging="420"/>
      </w:pPr>
      <w:rPr>
        <w:rFonts w:hint="default"/>
      </w:rPr>
    </w:lvl>
    <w:lvl w:ilvl="6" w:tentative="0">
      <w:start w:val="1"/>
      <w:numFmt w:val="lowerRoman"/>
      <w:lvlText w:val="%7."/>
      <w:lvlJc w:val="left"/>
      <w:pPr>
        <w:tabs>
          <w:tab w:val="left" w:pos="2940"/>
        </w:tabs>
        <w:ind w:left="3343" w:hanging="420"/>
      </w:pPr>
      <w:rPr>
        <w:rFonts w:hint="default"/>
      </w:rPr>
    </w:lvl>
    <w:lvl w:ilvl="7" w:tentative="0">
      <w:start w:val="1"/>
      <w:numFmt w:val="lowerRoman"/>
      <w:lvlText w:val="%8)"/>
      <w:lvlJc w:val="left"/>
      <w:pPr>
        <w:tabs>
          <w:tab w:val="left" w:pos="3360"/>
        </w:tabs>
        <w:ind w:left="3763" w:hanging="420"/>
      </w:pPr>
      <w:rPr>
        <w:rFonts w:hint="default"/>
      </w:rPr>
    </w:lvl>
    <w:lvl w:ilvl="8" w:tentative="0">
      <w:start w:val="1"/>
      <w:numFmt w:val="lowerLetter"/>
      <w:lvlText w:val="%9."/>
      <w:lvlJc w:val="left"/>
      <w:pPr>
        <w:tabs>
          <w:tab w:val="left" w:pos="3780"/>
        </w:tabs>
        <w:ind w:left="4183" w:hanging="420"/>
      </w:pPr>
      <w:rPr>
        <w:rFonts w:hint="default"/>
      </w:rPr>
    </w:lvl>
  </w:abstractNum>
  <w:abstractNum w:abstractNumId="2">
    <w:nsid w:val="C55DFF13"/>
    <w:multiLevelType w:val="singleLevel"/>
    <w:tmpl w:val="C55DFF13"/>
    <w:lvl w:ilvl="0" w:tentative="0">
      <w:start w:val="1"/>
      <w:numFmt w:val="decimal"/>
      <w:lvlText w:val="%1、"/>
      <w:lvlJc w:val="left"/>
      <w:pPr>
        <w:tabs>
          <w:tab w:val="left" w:pos="420"/>
        </w:tabs>
        <w:ind w:left="425" w:hanging="425"/>
      </w:pPr>
      <w:rPr>
        <w:rFonts w:hint="default"/>
      </w:rPr>
    </w:lvl>
  </w:abstractNum>
  <w:abstractNum w:abstractNumId="3">
    <w:nsid w:val="FC5763DB"/>
    <w:multiLevelType w:val="singleLevel"/>
    <w:tmpl w:val="FC5763DB"/>
    <w:lvl w:ilvl="0" w:tentative="0">
      <w:start w:val="1"/>
      <w:numFmt w:val="decimal"/>
      <w:lvlText w:val="%1、"/>
      <w:lvlJc w:val="left"/>
      <w:pPr>
        <w:tabs>
          <w:tab w:val="left" w:pos="420"/>
        </w:tabs>
        <w:ind w:left="425" w:hanging="425"/>
      </w:pPr>
      <w:rPr>
        <w:rFonts w:hint="default"/>
      </w:rPr>
    </w:lvl>
  </w:abstractNum>
  <w:abstractNum w:abstractNumId="4">
    <w:nsid w:val="030A5D40"/>
    <w:multiLevelType w:val="singleLevel"/>
    <w:tmpl w:val="030A5D40"/>
    <w:lvl w:ilvl="0" w:tentative="0">
      <w:start w:val="1"/>
      <w:numFmt w:val="decimal"/>
      <w:lvlText w:val="%1、"/>
      <w:lvlJc w:val="left"/>
      <w:pPr>
        <w:tabs>
          <w:tab w:val="left" w:pos="420"/>
        </w:tabs>
        <w:ind w:left="425" w:hanging="425"/>
      </w:pPr>
      <w:rPr>
        <w:rFonts w:hint="default"/>
      </w:rPr>
    </w:lvl>
  </w:abstractNum>
  <w:abstractNum w:abstractNumId="5">
    <w:nsid w:val="05CBF4DD"/>
    <w:multiLevelType w:val="singleLevel"/>
    <w:tmpl w:val="05CBF4DD"/>
    <w:lvl w:ilvl="0" w:tentative="0">
      <w:start w:val="1"/>
      <w:numFmt w:val="decimal"/>
      <w:lvlText w:val="%1、"/>
      <w:lvlJc w:val="left"/>
      <w:pPr>
        <w:tabs>
          <w:tab w:val="left" w:pos="420"/>
        </w:tabs>
        <w:ind w:left="425" w:hanging="425"/>
      </w:pPr>
      <w:rPr>
        <w:rFonts w:hint="default"/>
      </w:rPr>
    </w:lvl>
  </w:abstractNum>
  <w:abstractNum w:abstractNumId="6">
    <w:nsid w:val="0CE34464"/>
    <w:multiLevelType w:val="multilevel"/>
    <w:tmpl w:val="0CE34464"/>
    <w:lvl w:ilvl="0" w:tentative="0">
      <w:start w:val="1"/>
      <w:numFmt w:val="decimal"/>
      <w:suff w:val="nothing"/>
      <w:lvlText w:val="%1、"/>
      <w:lvlJc w:val="left"/>
      <w:pPr>
        <w:ind w:left="0" w:firstLine="403"/>
      </w:pPr>
      <w:rPr>
        <w:rFonts w:hint="default"/>
      </w:rPr>
    </w:lvl>
    <w:lvl w:ilvl="1" w:tentative="0">
      <w:start w:val="1"/>
      <w:numFmt w:val="decimal"/>
      <w:lvlText w:val="(%2)"/>
      <w:lvlJc w:val="left"/>
      <w:pPr>
        <w:tabs>
          <w:tab w:val="left" w:pos="840"/>
        </w:tabs>
        <w:ind w:left="1243" w:hanging="420"/>
      </w:pPr>
      <w:rPr>
        <w:rFonts w:hint="default"/>
      </w:rPr>
    </w:lvl>
    <w:lvl w:ilvl="2" w:tentative="0">
      <w:start w:val="1"/>
      <w:numFmt w:val="decimalEnclosedCircleChinese"/>
      <w:lvlText w:val="%3"/>
      <w:lvlJc w:val="left"/>
      <w:pPr>
        <w:tabs>
          <w:tab w:val="left" w:pos="1260"/>
        </w:tabs>
        <w:ind w:left="1663" w:hanging="420"/>
      </w:pPr>
      <w:rPr>
        <w:rFonts w:hint="default"/>
      </w:rPr>
    </w:lvl>
    <w:lvl w:ilvl="3" w:tentative="0">
      <w:start w:val="1"/>
      <w:numFmt w:val="decimal"/>
      <w:lvlText w:val="%4)"/>
      <w:lvlJc w:val="left"/>
      <w:pPr>
        <w:tabs>
          <w:tab w:val="left" w:pos="1680"/>
        </w:tabs>
        <w:ind w:left="2083" w:hanging="420"/>
      </w:pPr>
      <w:rPr>
        <w:rFonts w:hint="default"/>
      </w:rPr>
    </w:lvl>
    <w:lvl w:ilvl="4" w:tentative="0">
      <w:start w:val="1"/>
      <w:numFmt w:val="lowerLetter"/>
      <w:lvlText w:val="%5."/>
      <w:lvlJc w:val="left"/>
      <w:pPr>
        <w:tabs>
          <w:tab w:val="left" w:pos="2100"/>
        </w:tabs>
        <w:ind w:left="2503" w:hanging="420"/>
      </w:pPr>
      <w:rPr>
        <w:rFonts w:hint="default"/>
      </w:rPr>
    </w:lvl>
    <w:lvl w:ilvl="5" w:tentative="0">
      <w:start w:val="1"/>
      <w:numFmt w:val="lowerLetter"/>
      <w:lvlText w:val="%6)"/>
      <w:lvlJc w:val="left"/>
      <w:pPr>
        <w:tabs>
          <w:tab w:val="left" w:pos="2520"/>
        </w:tabs>
        <w:ind w:left="2923" w:hanging="420"/>
      </w:pPr>
      <w:rPr>
        <w:rFonts w:hint="default"/>
      </w:rPr>
    </w:lvl>
    <w:lvl w:ilvl="6" w:tentative="0">
      <w:start w:val="1"/>
      <w:numFmt w:val="lowerRoman"/>
      <w:lvlText w:val="%7."/>
      <w:lvlJc w:val="left"/>
      <w:pPr>
        <w:tabs>
          <w:tab w:val="left" w:pos="2940"/>
        </w:tabs>
        <w:ind w:left="3343" w:hanging="420"/>
      </w:pPr>
      <w:rPr>
        <w:rFonts w:hint="default"/>
      </w:rPr>
    </w:lvl>
    <w:lvl w:ilvl="7" w:tentative="0">
      <w:start w:val="1"/>
      <w:numFmt w:val="lowerRoman"/>
      <w:lvlText w:val="%8)"/>
      <w:lvlJc w:val="left"/>
      <w:pPr>
        <w:tabs>
          <w:tab w:val="left" w:pos="3360"/>
        </w:tabs>
        <w:ind w:left="3763" w:hanging="420"/>
      </w:pPr>
      <w:rPr>
        <w:rFonts w:hint="default"/>
      </w:rPr>
    </w:lvl>
    <w:lvl w:ilvl="8" w:tentative="0">
      <w:start w:val="1"/>
      <w:numFmt w:val="lowerLetter"/>
      <w:lvlText w:val="%9."/>
      <w:lvlJc w:val="left"/>
      <w:pPr>
        <w:tabs>
          <w:tab w:val="left" w:pos="3780"/>
        </w:tabs>
        <w:ind w:left="4183" w:hanging="420"/>
      </w:pPr>
      <w:rPr>
        <w:rFonts w:hint="default"/>
      </w:rPr>
    </w:lvl>
  </w:abstractNum>
  <w:abstractNum w:abstractNumId="7">
    <w:nsid w:val="1670B19C"/>
    <w:multiLevelType w:val="multilevel"/>
    <w:tmpl w:val="1670B19C"/>
    <w:lvl w:ilvl="0" w:tentative="0">
      <w:start w:val="1"/>
      <w:numFmt w:val="decimal"/>
      <w:suff w:val="nothing"/>
      <w:lvlText w:val="%1、"/>
      <w:lvlJc w:val="left"/>
      <w:pPr>
        <w:ind w:left="0" w:firstLine="403"/>
      </w:pPr>
      <w:rPr>
        <w:rFonts w:hint="default"/>
      </w:rPr>
    </w:lvl>
    <w:lvl w:ilvl="1" w:tentative="0">
      <w:start w:val="1"/>
      <w:numFmt w:val="decimal"/>
      <w:lvlText w:val="(%2)"/>
      <w:lvlJc w:val="left"/>
      <w:pPr>
        <w:tabs>
          <w:tab w:val="left" w:pos="840"/>
        </w:tabs>
        <w:ind w:left="1243" w:hanging="420"/>
      </w:pPr>
      <w:rPr>
        <w:rFonts w:hint="default"/>
      </w:rPr>
    </w:lvl>
    <w:lvl w:ilvl="2" w:tentative="0">
      <w:start w:val="1"/>
      <w:numFmt w:val="decimalEnclosedCircleChinese"/>
      <w:lvlText w:val="%3"/>
      <w:lvlJc w:val="left"/>
      <w:pPr>
        <w:tabs>
          <w:tab w:val="left" w:pos="1260"/>
        </w:tabs>
        <w:ind w:left="1663" w:hanging="420"/>
      </w:pPr>
      <w:rPr>
        <w:rFonts w:hint="default"/>
      </w:rPr>
    </w:lvl>
    <w:lvl w:ilvl="3" w:tentative="0">
      <w:start w:val="1"/>
      <w:numFmt w:val="decimal"/>
      <w:lvlText w:val="%4)"/>
      <w:lvlJc w:val="left"/>
      <w:pPr>
        <w:tabs>
          <w:tab w:val="left" w:pos="1680"/>
        </w:tabs>
        <w:ind w:left="2083" w:hanging="420"/>
      </w:pPr>
      <w:rPr>
        <w:rFonts w:hint="default"/>
      </w:rPr>
    </w:lvl>
    <w:lvl w:ilvl="4" w:tentative="0">
      <w:start w:val="1"/>
      <w:numFmt w:val="lowerLetter"/>
      <w:lvlText w:val="%5."/>
      <w:lvlJc w:val="left"/>
      <w:pPr>
        <w:tabs>
          <w:tab w:val="left" w:pos="2100"/>
        </w:tabs>
        <w:ind w:left="2503" w:hanging="420"/>
      </w:pPr>
      <w:rPr>
        <w:rFonts w:hint="default"/>
      </w:rPr>
    </w:lvl>
    <w:lvl w:ilvl="5" w:tentative="0">
      <w:start w:val="1"/>
      <w:numFmt w:val="lowerLetter"/>
      <w:lvlText w:val="%6)"/>
      <w:lvlJc w:val="left"/>
      <w:pPr>
        <w:tabs>
          <w:tab w:val="left" w:pos="2520"/>
        </w:tabs>
        <w:ind w:left="2923" w:hanging="420"/>
      </w:pPr>
      <w:rPr>
        <w:rFonts w:hint="default"/>
      </w:rPr>
    </w:lvl>
    <w:lvl w:ilvl="6" w:tentative="0">
      <w:start w:val="1"/>
      <w:numFmt w:val="lowerRoman"/>
      <w:lvlText w:val="%7."/>
      <w:lvlJc w:val="left"/>
      <w:pPr>
        <w:tabs>
          <w:tab w:val="left" w:pos="2940"/>
        </w:tabs>
        <w:ind w:left="3343" w:hanging="420"/>
      </w:pPr>
      <w:rPr>
        <w:rFonts w:hint="default"/>
      </w:rPr>
    </w:lvl>
    <w:lvl w:ilvl="7" w:tentative="0">
      <w:start w:val="1"/>
      <w:numFmt w:val="lowerRoman"/>
      <w:lvlText w:val="%8)"/>
      <w:lvlJc w:val="left"/>
      <w:pPr>
        <w:tabs>
          <w:tab w:val="left" w:pos="3360"/>
        </w:tabs>
        <w:ind w:left="3763" w:hanging="420"/>
      </w:pPr>
      <w:rPr>
        <w:rFonts w:hint="default"/>
      </w:rPr>
    </w:lvl>
    <w:lvl w:ilvl="8" w:tentative="0">
      <w:start w:val="1"/>
      <w:numFmt w:val="lowerLetter"/>
      <w:lvlText w:val="%9."/>
      <w:lvlJc w:val="left"/>
      <w:pPr>
        <w:tabs>
          <w:tab w:val="left" w:pos="3780"/>
        </w:tabs>
        <w:ind w:left="4183" w:hanging="420"/>
      </w:pPr>
      <w:rPr>
        <w:rFonts w:hint="default"/>
      </w:rPr>
    </w:lvl>
  </w:abstractNum>
  <w:abstractNum w:abstractNumId="8">
    <w:nsid w:val="3623365A"/>
    <w:multiLevelType w:val="singleLevel"/>
    <w:tmpl w:val="3623365A"/>
    <w:lvl w:ilvl="0" w:tentative="0">
      <w:start w:val="1"/>
      <w:numFmt w:val="decimal"/>
      <w:lvlText w:val="%1、"/>
      <w:lvlJc w:val="left"/>
      <w:pPr>
        <w:tabs>
          <w:tab w:val="left" w:pos="420"/>
        </w:tabs>
        <w:ind w:left="425" w:leftChars="0" w:hanging="425" w:firstLineChars="0"/>
      </w:pPr>
      <w:rPr>
        <w:rFonts w:hint="default"/>
      </w:rPr>
    </w:lvl>
  </w:abstractNum>
  <w:num w:numId="1">
    <w:abstractNumId w:val="7"/>
  </w:num>
  <w:num w:numId="2">
    <w:abstractNumId w:val="1"/>
  </w:num>
  <w:num w:numId="3">
    <w:abstractNumId w:val="6"/>
  </w:num>
  <w:num w:numId="4">
    <w:abstractNumId w:val="0"/>
  </w:num>
  <w:num w:numId="5">
    <w:abstractNumId w:val="2"/>
  </w:num>
  <w:num w:numId="6">
    <w:abstractNumId w:val="8"/>
  </w:num>
  <w:num w:numId="7">
    <w:abstractNumId w:val="3"/>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F33ECE"/>
    <w:rsid w:val="00F46D15"/>
    <w:rsid w:val="020E3E06"/>
    <w:rsid w:val="02F76F90"/>
    <w:rsid w:val="04567CE7"/>
    <w:rsid w:val="053E2C54"/>
    <w:rsid w:val="058B49DF"/>
    <w:rsid w:val="062063BE"/>
    <w:rsid w:val="06502E2E"/>
    <w:rsid w:val="07302A71"/>
    <w:rsid w:val="081A3113"/>
    <w:rsid w:val="0A474359"/>
    <w:rsid w:val="0A4C42D3"/>
    <w:rsid w:val="0B9F3DF4"/>
    <w:rsid w:val="0C177D5B"/>
    <w:rsid w:val="0C751D17"/>
    <w:rsid w:val="0D571796"/>
    <w:rsid w:val="0ECD6DF7"/>
    <w:rsid w:val="0FA933C0"/>
    <w:rsid w:val="0FF22FB9"/>
    <w:rsid w:val="102B0279"/>
    <w:rsid w:val="10DE709A"/>
    <w:rsid w:val="118E286E"/>
    <w:rsid w:val="1246139A"/>
    <w:rsid w:val="13D824C6"/>
    <w:rsid w:val="1444190A"/>
    <w:rsid w:val="14B46A8F"/>
    <w:rsid w:val="1609105D"/>
    <w:rsid w:val="163F05DA"/>
    <w:rsid w:val="16E01B81"/>
    <w:rsid w:val="17716EB9"/>
    <w:rsid w:val="179922EA"/>
    <w:rsid w:val="1BDD3A15"/>
    <w:rsid w:val="1D5F7F07"/>
    <w:rsid w:val="1DEA52D0"/>
    <w:rsid w:val="1DF1305D"/>
    <w:rsid w:val="20A933D4"/>
    <w:rsid w:val="22E91FFA"/>
    <w:rsid w:val="23664E49"/>
    <w:rsid w:val="23783F08"/>
    <w:rsid w:val="24B623B0"/>
    <w:rsid w:val="24C525F3"/>
    <w:rsid w:val="25382DC5"/>
    <w:rsid w:val="269C7383"/>
    <w:rsid w:val="27A71D1F"/>
    <w:rsid w:val="27BF3329"/>
    <w:rsid w:val="28626115"/>
    <w:rsid w:val="28FF03FE"/>
    <w:rsid w:val="29424212"/>
    <w:rsid w:val="2A5306A1"/>
    <w:rsid w:val="2A77438F"/>
    <w:rsid w:val="2B2D208F"/>
    <w:rsid w:val="2BF6759A"/>
    <w:rsid w:val="2D23184C"/>
    <w:rsid w:val="2D3C366E"/>
    <w:rsid w:val="2D850E81"/>
    <w:rsid w:val="2E094915"/>
    <w:rsid w:val="2EDB6D2D"/>
    <w:rsid w:val="2F4B1946"/>
    <w:rsid w:val="2F854E58"/>
    <w:rsid w:val="32B048E2"/>
    <w:rsid w:val="33DF3513"/>
    <w:rsid w:val="347322B4"/>
    <w:rsid w:val="35270760"/>
    <w:rsid w:val="367F0F9E"/>
    <w:rsid w:val="36883480"/>
    <w:rsid w:val="38122627"/>
    <w:rsid w:val="384542BC"/>
    <w:rsid w:val="388258F2"/>
    <w:rsid w:val="392751D2"/>
    <w:rsid w:val="3971644D"/>
    <w:rsid w:val="3A015A23"/>
    <w:rsid w:val="3B761D0E"/>
    <w:rsid w:val="3E75253C"/>
    <w:rsid w:val="3EA3354D"/>
    <w:rsid w:val="3F7F7B16"/>
    <w:rsid w:val="42175028"/>
    <w:rsid w:val="431E7646"/>
    <w:rsid w:val="43FA3C0F"/>
    <w:rsid w:val="440E1469"/>
    <w:rsid w:val="442C0618"/>
    <w:rsid w:val="44692B43"/>
    <w:rsid w:val="45AC0F39"/>
    <w:rsid w:val="46A71700"/>
    <w:rsid w:val="47531003"/>
    <w:rsid w:val="4B334999"/>
    <w:rsid w:val="4D761E2D"/>
    <w:rsid w:val="4FBC621D"/>
    <w:rsid w:val="501716A5"/>
    <w:rsid w:val="50FE3E8B"/>
    <w:rsid w:val="53004672"/>
    <w:rsid w:val="56E822F9"/>
    <w:rsid w:val="5E1D5BB8"/>
    <w:rsid w:val="618B1EF3"/>
    <w:rsid w:val="61F335F4"/>
    <w:rsid w:val="627B3D15"/>
    <w:rsid w:val="6315416A"/>
    <w:rsid w:val="63B14FF4"/>
    <w:rsid w:val="645B2050"/>
    <w:rsid w:val="648121C3"/>
    <w:rsid w:val="651B358E"/>
    <w:rsid w:val="65E010F3"/>
    <w:rsid w:val="67957627"/>
    <w:rsid w:val="67EC1211"/>
    <w:rsid w:val="68703BF0"/>
    <w:rsid w:val="6A845731"/>
    <w:rsid w:val="6D5D539B"/>
    <w:rsid w:val="6E641258"/>
    <w:rsid w:val="6FA53D83"/>
    <w:rsid w:val="6FC253A0"/>
    <w:rsid w:val="6FE70C3C"/>
    <w:rsid w:val="72DD0F04"/>
    <w:rsid w:val="72F33ECE"/>
    <w:rsid w:val="72F773E8"/>
    <w:rsid w:val="73F92CEC"/>
    <w:rsid w:val="7422425C"/>
    <w:rsid w:val="75AD3D8E"/>
    <w:rsid w:val="769A4640"/>
    <w:rsid w:val="770F2826"/>
    <w:rsid w:val="77306B9A"/>
    <w:rsid w:val="79652DD0"/>
    <w:rsid w:val="7A6335B5"/>
    <w:rsid w:val="7A681AC4"/>
    <w:rsid w:val="7AD13515"/>
    <w:rsid w:val="7BBB190C"/>
    <w:rsid w:val="7C423286"/>
    <w:rsid w:val="7C477787"/>
    <w:rsid w:val="7CB1685A"/>
    <w:rsid w:val="7D5316BF"/>
    <w:rsid w:val="7D637428"/>
    <w:rsid w:val="7E635932"/>
    <w:rsid w:val="7EC35C51"/>
    <w:rsid w:val="7F111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3"/>
    <w:basedOn w:val="1"/>
    <w:next w:val="1"/>
    <w:link w:val="14"/>
    <w:unhideWhenUsed/>
    <w:qFormat/>
    <w:uiPriority w:val="0"/>
    <w:pPr>
      <w:keepNext/>
      <w:keepLines/>
      <w:spacing w:before="260" w:beforeLines="0" w:beforeAutospacing="0" w:after="260" w:afterLines="0" w:afterAutospacing="0" w:line="413" w:lineRule="auto"/>
      <w:outlineLvl w:val="2"/>
    </w:pPr>
    <w:rPr>
      <w:b/>
      <w:sz w:val="32"/>
    </w:rPr>
  </w:style>
  <w:style w:type="paragraph" w:styleId="4">
    <w:name w:val="heading 4"/>
    <w:basedOn w:val="1"/>
    <w:next w:val="1"/>
    <w:qFormat/>
    <w:uiPriority w:val="0"/>
    <w:pPr>
      <w:keepNext/>
      <w:keepLines/>
      <w:spacing w:line="360" w:lineRule="auto"/>
      <w:outlineLvl w:val="3"/>
    </w:pPr>
    <w:rPr>
      <w:rFonts w:ascii="Arial" w:hAnsi="Arial"/>
      <w:b/>
      <w:bCs/>
      <w:szCs w:val="28"/>
    </w:rPr>
  </w:style>
  <w:style w:type="paragraph" w:styleId="5">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Normal Indent"/>
    <w:basedOn w:val="1"/>
    <w:next w:val="1"/>
    <w:qFormat/>
    <w:uiPriority w:val="0"/>
    <w:pPr>
      <w:ind w:firstLine="420" w:firstLineChars="200"/>
    </w:pPr>
    <w:rPr>
      <w:rFonts w:ascii="Tahoma" w:hAnsi="Tahoma"/>
    </w:rPr>
  </w:style>
  <w:style w:type="paragraph" w:styleId="7">
    <w:name w:val="Body Text"/>
    <w:basedOn w:val="1"/>
    <w:next w:val="1"/>
    <w:semiHidden/>
    <w:qFormat/>
    <w:uiPriority w:val="0"/>
    <w:rPr>
      <w:rFonts w:ascii="Arial" w:hAnsi="Arial" w:eastAsia="Arial" w:cs="Arial"/>
      <w:sz w:val="21"/>
      <w:szCs w:val="21"/>
      <w:lang w:val="en-US" w:eastAsia="en-US" w:bidi="ar-SA"/>
    </w:rPr>
  </w:style>
  <w:style w:type="paragraph" w:styleId="8">
    <w:name w:val="Plain Text"/>
    <w:basedOn w:val="1"/>
    <w:qFormat/>
    <w:uiPriority w:val="0"/>
    <w:pPr>
      <w:widowControl/>
      <w:spacing w:before="100" w:beforeAutospacing="1" w:after="100" w:afterAutospacing="1"/>
      <w:jc w:val="left"/>
    </w:pPr>
    <w:rPr>
      <w:rFonts w:ascii="宋体" w:hAnsi="宋体" w:cs="宋体"/>
      <w:kern w:val="0"/>
      <w:sz w:val="24"/>
    </w:rPr>
  </w:style>
  <w:style w:type="paragraph" w:styleId="9">
    <w:name w:val="Title"/>
    <w:basedOn w:val="1"/>
    <w:qFormat/>
    <w:uiPriority w:val="0"/>
    <w:pPr>
      <w:spacing w:before="240" w:after="60"/>
      <w:jc w:val="center"/>
      <w:outlineLvl w:val="0"/>
    </w:pPr>
    <w:rPr>
      <w:rFonts w:ascii="Arial" w:hAnsi="Arial" w:cs="Times New Roman"/>
      <w:b/>
      <w:sz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13">
    <w:name w:val="正文1"/>
    <w:qFormat/>
    <w:uiPriority w:val="0"/>
    <w:pPr>
      <w:keepNext/>
      <w:keepLines/>
      <w:spacing w:beforeLines="50" w:afterLines="50" w:line="360" w:lineRule="exact"/>
      <w:ind w:firstLine="200" w:firstLineChars="200"/>
    </w:pPr>
    <w:rPr>
      <w:rFonts w:ascii="仿宋_GB2312" w:hAnsi="宋体" w:eastAsia="仿宋_GB2312" w:cs="Times New Roman"/>
      <w:color w:val="000000"/>
      <w:sz w:val="24"/>
      <w:szCs w:val="30"/>
      <w:lang w:val="en-GB" w:eastAsia="zh-CN" w:bidi="ar-SA"/>
    </w:rPr>
  </w:style>
  <w:style w:type="character" w:customStyle="1" w:styleId="14">
    <w:name w:val="标题 3 Char"/>
    <w:link w:val="3"/>
    <w:qFormat/>
    <w:uiPriority w:val="0"/>
    <w:rPr>
      <w:b/>
      <w:sz w:val="32"/>
    </w:rPr>
  </w:style>
  <w:style w:type="paragraph" w:styleId="15">
    <w:name w:val="List Paragraph"/>
    <w:basedOn w:val="1"/>
    <w:unhideWhenUsed/>
    <w:qFormat/>
    <w:uiPriority w:val="99"/>
    <w:pPr>
      <w:widowControl/>
      <w:spacing w:before="100" w:beforeAutospacing="1" w:after="100" w:afterAutospacing="1"/>
      <w:ind w:firstLine="420"/>
    </w:pPr>
    <w:rPr>
      <w:rFonts w:hint="default" w:ascii="Times New Roman" w:hAnsi="Times New Roman"/>
      <w:kern w:val="0"/>
    </w:rPr>
  </w:style>
  <w:style w:type="character" w:customStyle="1" w:styleId="16">
    <w:name w:val="font41"/>
    <w:basedOn w:val="12"/>
    <w:qFormat/>
    <w:uiPriority w:val="0"/>
    <w:rPr>
      <w:rFonts w:hint="eastAsia" w:ascii="仿宋" w:hAnsi="仿宋" w:eastAsia="仿宋" w:cs="仿宋"/>
      <w:color w:val="000000"/>
      <w:sz w:val="22"/>
      <w:szCs w:val="22"/>
      <w:u w:val="none"/>
    </w:rPr>
  </w:style>
  <w:style w:type="character" w:customStyle="1" w:styleId="17">
    <w:name w:val="font61"/>
    <w:basedOn w:val="12"/>
    <w:qFormat/>
    <w:uiPriority w:val="0"/>
    <w:rPr>
      <w:rFonts w:hint="default" w:ascii="Times New Roman" w:hAnsi="Times New Roman" w:cs="Times New Roman"/>
      <w:color w:val="000000"/>
      <w:sz w:val="22"/>
      <w:szCs w:val="22"/>
      <w:u w:val="none"/>
    </w:rPr>
  </w:style>
  <w:style w:type="character" w:customStyle="1" w:styleId="18">
    <w:name w:val="font51"/>
    <w:basedOn w:val="12"/>
    <w:qFormat/>
    <w:uiPriority w:val="0"/>
    <w:rPr>
      <w:rFonts w:hint="eastAsia" w:ascii="仿宋" w:hAnsi="仿宋" w:eastAsia="仿宋" w:cs="仿宋"/>
      <w:color w:val="000000"/>
      <w:sz w:val="16"/>
      <w:szCs w:val="16"/>
      <w:u w:val="none"/>
    </w:rPr>
  </w:style>
  <w:style w:type="character" w:customStyle="1" w:styleId="19">
    <w:name w:val="font31"/>
    <w:basedOn w:val="12"/>
    <w:qFormat/>
    <w:uiPriority w:val="0"/>
    <w:rPr>
      <w:rFonts w:hint="eastAsia" w:ascii="宋体" w:hAnsi="宋体" w:eastAsia="宋体" w:cs="宋体"/>
      <w:color w:val="000000"/>
      <w:sz w:val="16"/>
      <w:szCs w:val="16"/>
      <w:u w:val="none"/>
    </w:rPr>
  </w:style>
  <w:style w:type="character" w:customStyle="1" w:styleId="20">
    <w:name w:val="font81"/>
    <w:basedOn w:val="12"/>
    <w:qFormat/>
    <w:uiPriority w:val="0"/>
    <w:rPr>
      <w:rFonts w:hint="default" w:ascii="Arial" w:hAnsi="Arial" w:cs="Arial"/>
      <w:color w:val="000000"/>
      <w:sz w:val="16"/>
      <w:szCs w:val="16"/>
      <w:u w:val="none"/>
    </w:rPr>
  </w:style>
  <w:style w:type="character" w:customStyle="1" w:styleId="21">
    <w:name w:val="font91"/>
    <w:basedOn w:val="12"/>
    <w:qFormat/>
    <w:uiPriority w:val="0"/>
    <w:rPr>
      <w:rFonts w:hint="eastAsia" w:ascii="仿宋" w:hAnsi="仿宋" w:eastAsia="仿宋" w:cs="仿宋"/>
      <w:b/>
      <w:bCs/>
      <w:color w:val="000000"/>
      <w:sz w:val="16"/>
      <w:szCs w:val="16"/>
      <w:u w:val="none"/>
      <w:vertAlign w:val="superscript"/>
    </w:rPr>
  </w:style>
  <w:style w:type="character" w:customStyle="1" w:styleId="22">
    <w:name w:val="font11"/>
    <w:basedOn w:val="12"/>
    <w:qFormat/>
    <w:uiPriority w:val="0"/>
    <w:rPr>
      <w:rFonts w:hint="eastAsia"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3158</Words>
  <Characters>3340</Characters>
  <Lines>0</Lines>
  <Paragraphs>0</Paragraphs>
  <TotalTime>12</TotalTime>
  <ScaleCrop>false</ScaleCrop>
  <LinksUpToDate>false</LinksUpToDate>
  <CharactersWithSpaces>3382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2025-03-17T08:30:00Z</dcterms:created>
  <dc:creator>Ikki</dc:creator>
  <cp:lastModifiedBy>WPS_1569745718</cp:lastModifiedBy>
  <cp:lastPrinted>2026-02-25T01:59:00Z</cp:lastPrinted>
  <dcterms:modified xsi:type="dcterms:W3CDTF">2026-09-22T07:19:10Z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0DC0E4502AA14C18AD6380F3B5599E18_13</vt:lpwstr>
  </property>
  <property fmtid="{D5CDD505-2E9C-101B-9397-08002B2CF9AE}" pid="4" name="KSOTemplateDocerSaveRecord">
    <vt:lpwstr>eyJoZGlkIjoiZTYyMDczZGRhZjNiZjg5MTJhMWY4ZmJkZjE0ODlhZjQiLCJ1c2VySWQiOiI2Nzc3MDY5ODMifQ==</vt:lpwstr>
  </property>
</Properties>
</file>