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8"/>
      </w:tblGrid>
      <w:tr w14:paraId="3024E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1B3C5C">
            <w:pPr>
              <w:widowControl/>
              <w:jc w:val="center"/>
              <w:textAlignment w:val="center"/>
              <w:rPr>
                <w:rFonts w:ascii="FangSong_GB2312" w:hAnsi="FangSong_GB2312" w:eastAsia="FangSong_GB2312" w:cs="FangSong_GB2312"/>
                <w:b/>
                <w:bCs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贵州航天医院竞争性磋商公告</w:t>
            </w:r>
          </w:p>
        </w:tc>
      </w:tr>
      <w:tr w14:paraId="08F37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C146FB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b/>
                <w:bCs/>
                <w:color w:val="000000"/>
                <w:kern w:val="0"/>
                <w:sz w:val="24"/>
                <w:lang w:bidi="ar"/>
              </w:rPr>
              <w:t>一、项目基本情况：</w:t>
            </w:r>
          </w:p>
        </w:tc>
      </w:tr>
      <w:tr w14:paraId="261E4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28600">
            <w:pPr>
              <w:keepNext w:val="0"/>
              <w:keepLines w:val="0"/>
              <w:widowControl/>
              <w:suppressLineNumbers w:val="0"/>
              <w:jc w:val="left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项目名称：贵州航天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eastAsia="zh-CN" w:bidi="ar"/>
              </w:rPr>
              <w:t>医院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机房多套存储设备及数据中心运维服务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eastAsia="zh-CN" w:bidi="ar"/>
              </w:rPr>
              <w:t>采购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>项目</w:t>
            </w:r>
          </w:p>
        </w:tc>
      </w:tr>
      <w:tr w14:paraId="4746C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619D9C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采购方式：竞争性磋商</w:t>
            </w:r>
          </w:p>
        </w:tc>
      </w:tr>
      <w:tr w14:paraId="21FB5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588DEB">
            <w:pPr>
              <w:widowControl/>
              <w:jc w:val="left"/>
              <w:textAlignment w:val="center"/>
              <w:rPr>
                <w:rFonts w:hint="default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预算金额：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10万元</w:t>
            </w:r>
          </w:p>
        </w:tc>
      </w:tr>
      <w:tr w14:paraId="02D50D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DB5180">
            <w:pPr>
              <w:widowControl/>
              <w:jc w:val="left"/>
              <w:textAlignment w:val="center"/>
              <w:rPr>
                <w:rFonts w:hint="default" w:ascii="FangSong_GB2312" w:hAnsi="FangSong_GB2312" w:eastAsia="FangSong_GB2312" w:cs="FangSong_GB2312"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最高限价：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10万元</w:t>
            </w:r>
          </w:p>
        </w:tc>
      </w:tr>
      <w:tr w14:paraId="07E58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0AE93">
            <w:pPr>
              <w:pStyle w:val="20"/>
              <w:ind w:firstLine="480" w:firstLineChars="200"/>
              <w:rPr>
                <w:rFonts w:hint="default"/>
                <w:lang w:val="en-US" w:eastAsia="zh-CN"/>
              </w:rPr>
            </w:pPr>
            <w:r>
              <w:rPr>
                <w:rFonts w:eastAsia="FangSong_GB2312" w:asciiTheme="minorHAnsi" w:hAnsiTheme="minorHAnsi" w:cstheme="minorHAnsi"/>
                <w:b w:val="0"/>
                <w:bCs w:val="0"/>
                <w:lang w:bidi="ar"/>
              </w:rPr>
              <w:t>采购需求：</w:t>
            </w:r>
            <w:r>
              <w:rPr>
                <w:rFonts w:hint="eastAsia" w:eastAsia="FangSong_GB2312" w:asciiTheme="minorHAnsi" w:hAnsiTheme="minorHAnsi" w:cstheme="minorHAnsi"/>
                <w:b w:val="0"/>
                <w:bCs w:val="0"/>
                <w:lang w:val="en-US" w:eastAsia="zh-CN" w:bidi="ar"/>
              </w:rPr>
              <w:t>机房多套存储设备及数据中心运维服务（详见附件1）</w:t>
            </w:r>
            <w:r>
              <w:rPr>
                <w:rFonts w:hint="eastAsia" w:ascii="FangSong_GB2312" w:hAnsi="FangSong_GB2312" w:eastAsia="FangSong_GB2312" w:cs="FangSong_GB2312"/>
                <w:b w:val="0"/>
                <w:bCs w:val="0"/>
                <w:color w:val="000000"/>
                <w:kern w:val="0"/>
                <w:sz w:val="24"/>
                <w:lang w:val="en-US" w:eastAsia="zh-CN" w:bidi="ar"/>
              </w:rPr>
              <w:t>，评分方法见附件2、需提供服务内容偏离表（按模板附件4填写），按要求提供服务内容佐证材料（服务内容、要求见附件3、服务内容偏离表模板见附件4），二次报价以开标当日电话议价的方式进行。</w:t>
            </w:r>
          </w:p>
        </w:tc>
      </w:tr>
      <w:tr w14:paraId="38B15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0CE5F6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合同履行期限：合同签订之日起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15个工作日内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>履行</w:t>
            </w:r>
          </w:p>
        </w:tc>
      </w:tr>
      <w:tr w14:paraId="3DF57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E49AF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交货地点或服务地点：贵州航天医院</w:t>
            </w:r>
          </w:p>
        </w:tc>
      </w:tr>
      <w:tr w14:paraId="7791B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52DE4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b/>
                <w:bCs/>
                <w:color w:val="000000"/>
                <w:kern w:val="0"/>
                <w:sz w:val="24"/>
                <w:lang w:bidi="ar"/>
              </w:rPr>
              <w:t>二、投标人资格要求：</w:t>
            </w:r>
          </w:p>
        </w:tc>
      </w:tr>
      <w:tr w14:paraId="62D49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EFC28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提供独立承担民事责任的能力，如营业执照、自然人身份证明等</w:t>
            </w:r>
          </w:p>
        </w:tc>
      </w:tr>
      <w:tr w14:paraId="2846F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8F3B1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具有良好的商业信誉和健全的财务制度，具体要求（如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近两年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>财务报表等）</w:t>
            </w:r>
          </w:p>
        </w:tc>
      </w:tr>
      <w:tr w14:paraId="355B2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89276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具有履行合同所必须的设备和专业技术能力（资料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及产品授权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>）</w:t>
            </w:r>
          </w:p>
        </w:tc>
      </w:tr>
      <w:tr w14:paraId="34FBC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0C5B6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具有依法缴纳税收和社会保障金的良好记录</w:t>
            </w:r>
          </w:p>
        </w:tc>
      </w:tr>
      <w:tr w14:paraId="477D5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80F10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参加政府采购活动前三年内，在经营活动中没有重大违法记录（书面证明）</w:t>
            </w:r>
          </w:p>
        </w:tc>
      </w:tr>
      <w:tr w14:paraId="1E3B8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BD93F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不是失信被执行人、重大税收违法案件当事人、政府采购严重违法失信行为人等的承诺或资料</w:t>
            </w:r>
          </w:p>
        </w:tc>
      </w:tr>
      <w:tr w14:paraId="449316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933E8">
            <w:pPr>
              <w:widowControl/>
              <w:jc w:val="left"/>
              <w:textAlignment w:val="center"/>
              <w:rPr>
                <w:rFonts w:hint="eastAsia" w:ascii="FangSong_GB2312" w:hAnsi="FangSong_GB2312" w:eastAsia="FangSong_GB2312" w:cs="FangSong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是否接受联合体投标：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否</w:t>
            </w:r>
          </w:p>
        </w:tc>
      </w:tr>
      <w:tr w14:paraId="735CB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14EA4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b/>
                <w:bCs/>
                <w:color w:val="000000"/>
                <w:kern w:val="0"/>
                <w:sz w:val="24"/>
                <w:lang w:bidi="ar"/>
              </w:rPr>
              <w:t>三、获取采购文件</w:t>
            </w:r>
          </w:p>
        </w:tc>
      </w:tr>
      <w:tr w14:paraId="08815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510A2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时间：自本公告发布之日起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5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>个工作日内</w:t>
            </w:r>
          </w:p>
        </w:tc>
      </w:tr>
      <w:tr w14:paraId="52269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E3479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获取采购文件的地点或方式：挂网公告</w:t>
            </w:r>
          </w:p>
        </w:tc>
      </w:tr>
      <w:tr w14:paraId="2C950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16E57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是否交纳投标保证金（交纳方式）：否</w:t>
            </w:r>
          </w:p>
        </w:tc>
      </w:tr>
      <w:tr w14:paraId="2F1A2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A3AC5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b/>
                <w:bCs/>
                <w:color w:val="000000"/>
                <w:kern w:val="0"/>
                <w:sz w:val="24"/>
                <w:lang w:bidi="ar"/>
              </w:rPr>
              <w:t>四、响应文件提交</w:t>
            </w:r>
          </w:p>
        </w:tc>
      </w:tr>
      <w:tr w14:paraId="6C2AE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8B92BC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bidi="ar"/>
              </w:rPr>
              <w:t xml:space="preserve">    截止时间：自本公告发布之日起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5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bidi="ar"/>
              </w:rPr>
              <w:t>个工作日内</w:t>
            </w:r>
          </w:p>
        </w:tc>
      </w:tr>
      <w:tr w14:paraId="5929A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7F185">
            <w:pPr>
              <w:widowControl/>
              <w:jc w:val="left"/>
              <w:textAlignment w:val="center"/>
              <w:rPr>
                <w:rFonts w:hint="default" w:ascii="FangSong_GB2312" w:hAnsi="FangSong_GB2312" w:eastAsia="FangSong_GB2312" w:cs="FangSong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bidi="ar"/>
              </w:rPr>
              <w:t xml:space="preserve">    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提交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bidi="ar"/>
              </w:rPr>
              <w:t>地点：贵州航天医院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eastAsia="zh-CN" w:bidi="ar"/>
              </w:rPr>
              <w:t>外科综合楼一楼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医学装备部</w:t>
            </w:r>
          </w:p>
        </w:tc>
      </w:tr>
      <w:tr w14:paraId="4CAF2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4DC3B">
            <w:pPr>
              <w:widowControl/>
              <w:ind w:firstLine="480" w:firstLineChars="200"/>
              <w:jc w:val="left"/>
              <w:textAlignment w:val="center"/>
              <w:rPr>
                <w:rFonts w:hint="default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咨询联系：采购办吴老师18785230603</w:t>
            </w:r>
          </w:p>
        </w:tc>
      </w:tr>
      <w:tr w14:paraId="5AA8D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2E34E">
            <w:pPr>
              <w:widowControl/>
              <w:ind w:firstLine="480" w:firstLineChars="200"/>
              <w:jc w:val="left"/>
              <w:textAlignment w:val="center"/>
              <w:rPr>
                <w:rFonts w:hint="default" w:ascii="FangSong_GB2312" w:hAnsi="FangSong_GB2312" w:eastAsia="FangSong_GB2312" w:cs="FangSong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响应文件投递方式：现场投递或邮寄投递</w:t>
            </w:r>
          </w:p>
        </w:tc>
      </w:tr>
      <w:tr w14:paraId="2D143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87A48">
            <w:pPr>
              <w:widowControl/>
              <w:ind w:firstLine="480" w:firstLineChars="200"/>
              <w:jc w:val="left"/>
              <w:textAlignment w:val="center"/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投标人要求：需由法人或法人委托的代理人持“授权委托书”进行投递，邮寄需邮寄人为法人或代理人，代理人需附“授权委托书”。</w:t>
            </w:r>
          </w:p>
        </w:tc>
      </w:tr>
      <w:tr w14:paraId="6D91E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5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81B66">
            <w:pPr>
              <w:widowControl/>
              <w:ind w:firstLine="480" w:firstLineChars="200"/>
              <w:jc w:val="left"/>
              <w:textAlignment w:val="center"/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投标文件需为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eastAsia="zh-CN" w:bidi="ar"/>
              </w:rPr>
              <w:t>纸质版，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胶装成册，</w:t>
            </w:r>
            <w:r>
              <w:rPr>
                <w:rFonts w:hint="eastAsia" w:ascii="FangSong_GB2312" w:hAnsi="FangSong_GB2312" w:eastAsia="FangSong_GB2312" w:cs="FangSong_GB2312"/>
                <w:b/>
                <w:bCs/>
                <w:color w:val="auto"/>
                <w:kern w:val="0"/>
                <w:sz w:val="24"/>
                <w:lang w:val="en-US" w:eastAsia="zh-CN" w:bidi="ar"/>
              </w:rPr>
              <w:t>一正两副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，内含目录及页码，密封提交；封面需标注所投项目及序号。</w:t>
            </w:r>
          </w:p>
        </w:tc>
      </w:tr>
      <w:tr w14:paraId="176FD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F8554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b/>
                <w:bCs/>
                <w:color w:val="000000"/>
                <w:kern w:val="0"/>
                <w:sz w:val="24"/>
                <w:lang w:bidi="ar"/>
              </w:rPr>
              <w:t>五、联系人及联系方式：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采购办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eastAsia="zh-CN" w:bidi="ar"/>
              </w:rPr>
              <w:t>陈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老师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>，联系电话：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0851-27677989</w:t>
            </w:r>
          </w:p>
        </w:tc>
      </w:tr>
    </w:tbl>
    <w:p w14:paraId="3756E708">
      <w:pPr>
        <w:jc w:val="left"/>
        <w:rPr>
          <w:rFonts w:hint="default" w:cs="宋体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附件1：机房采购配套设备、服务内容</w:t>
      </w:r>
    </w:p>
    <w:tbl>
      <w:tblPr>
        <w:tblStyle w:val="14"/>
        <w:tblW w:w="575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5"/>
        <w:gridCol w:w="847"/>
        <w:gridCol w:w="3398"/>
        <w:gridCol w:w="1181"/>
        <w:gridCol w:w="1488"/>
        <w:gridCol w:w="1622"/>
      </w:tblGrid>
      <w:tr w14:paraId="51C90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645" w:type="pct"/>
            <w:shd w:val="clear" w:color="auto" w:fill="auto"/>
            <w:vAlign w:val="center"/>
          </w:tcPr>
          <w:p w14:paraId="41EB8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科室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33378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733" w:type="pct"/>
            <w:shd w:val="clear" w:color="auto" w:fill="auto"/>
            <w:vAlign w:val="center"/>
          </w:tcPr>
          <w:p w14:paraId="5D0F8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配套设备名称</w:t>
            </w:r>
          </w:p>
        </w:tc>
        <w:tc>
          <w:tcPr>
            <w:tcW w:w="602" w:type="pct"/>
            <w:shd w:val="clear" w:color="auto" w:fill="auto"/>
            <w:vAlign w:val="center"/>
          </w:tcPr>
          <w:p w14:paraId="209CF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14817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申请</w:t>
            </w:r>
          </w:p>
          <w:p w14:paraId="6749A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827" w:type="pct"/>
            <w:shd w:val="clear" w:color="auto" w:fill="auto"/>
            <w:vAlign w:val="center"/>
          </w:tcPr>
          <w:p w14:paraId="1D664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拦标价</w:t>
            </w:r>
          </w:p>
          <w:p w14:paraId="609FD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（万元）</w:t>
            </w:r>
          </w:p>
        </w:tc>
      </w:tr>
      <w:tr w14:paraId="2DBEC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jc w:val="center"/>
        </w:trPr>
        <w:tc>
          <w:tcPr>
            <w:tcW w:w="645" w:type="pct"/>
            <w:vMerge w:val="restart"/>
            <w:shd w:val="clear" w:color="auto" w:fill="auto"/>
            <w:vAlign w:val="center"/>
          </w:tcPr>
          <w:p w14:paraId="1381B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信息科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759245A3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733" w:type="pct"/>
            <w:shd w:val="clear" w:color="auto" w:fill="auto"/>
            <w:vAlign w:val="center"/>
          </w:tcPr>
          <w:p w14:paraId="740FFFA3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EMC存储</w:t>
            </w:r>
          </w:p>
        </w:tc>
        <w:tc>
          <w:tcPr>
            <w:tcW w:w="602" w:type="pct"/>
            <w:shd w:val="clear" w:color="auto" w:fill="auto"/>
            <w:vAlign w:val="center"/>
          </w:tcPr>
          <w:p w14:paraId="16B04853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3DE203C6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7" w:type="pct"/>
            <w:vMerge w:val="restart"/>
            <w:shd w:val="clear" w:color="auto" w:fill="auto"/>
            <w:vAlign w:val="center"/>
          </w:tcPr>
          <w:p w14:paraId="4EBF71F7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</w:t>
            </w:r>
          </w:p>
        </w:tc>
      </w:tr>
      <w:tr w14:paraId="53348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jc w:val="center"/>
        </w:trPr>
        <w:tc>
          <w:tcPr>
            <w:tcW w:w="645" w:type="pct"/>
            <w:vMerge w:val="continue"/>
            <w:tcBorders/>
            <w:shd w:val="clear" w:color="auto" w:fill="auto"/>
            <w:vAlign w:val="center"/>
          </w:tcPr>
          <w:p w14:paraId="3B667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2ACDCE76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733" w:type="pct"/>
            <w:shd w:val="clear" w:color="auto" w:fill="auto"/>
            <w:vAlign w:val="center"/>
          </w:tcPr>
          <w:p w14:paraId="3AD85FFC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DELL存储</w:t>
            </w:r>
          </w:p>
        </w:tc>
        <w:tc>
          <w:tcPr>
            <w:tcW w:w="602" w:type="pct"/>
            <w:shd w:val="clear" w:color="auto" w:fill="auto"/>
            <w:vAlign w:val="center"/>
          </w:tcPr>
          <w:p w14:paraId="2C102207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37E0E6A3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827" w:type="pct"/>
            <w:vMerge w:val="continue"/>
            <w:tcBorders/>
            <w:shd w:val="clear" w:color="auto" w:fill="auto"/>
            <w:vAlign w:val="center"/>
          </w:tcPr>
          <w:p w14:paraId="24955ADD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68526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jc w:val="center"/>
        </w:trPr>
        <w:tc>
          <w:tcPr>
            <w:tcW w:w="645" w:type="pct"/>
            <w:vMerge w:val="continue"/>
            <w:tcBorders/>
            <w:shd w:val="clear" w:color="auto" w:fill="auto"/>
            <w:vAlign w:val="center"/>
          </w:tcPr>
          <w:p w14:paraId="4E842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5492D95E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733" w:type="pct"/>
            <w:shd w:val="clear" w:color="auto" w:fill="auto"/>
            <w:vAlign w:val="center"/>
          </w:tcPr>
          <w:p w14:paraId="4AFEA537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长城佳华存储</w:t>
            </w:r>
          </w:p>
        </w:tc>
        <w:tc>
          <w:tcPr>
            <w:tcW w:w="602" w:type="pct"/>
            <w:shd w:val="clear" w:color="auto" w:fill="auto"/>
            <w:vAlign w:val="center"/>
          </w:tcPr>
          <w:p w14:paraId="2D2A532B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76FB0B19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7" w:type="pct"/>
            <w:vMerge w:val="continue"/>
            <w:tcBorders/>
            <w:shd w:val="clear" w:color="auto" w:fill="auto"/>
            <w:vAlign w:val="center"/>
          </w:tcPr>
          <w:p w14:paraId="3E0D41B6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4B3DA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jc w:val="center"/>
        </w:trPr>
        <w:tc>
          <w:tcPr>
            <w:tcW w:w="645" w:type="pct"/>
            <w:vMerge w:val="continue"/>
            <w:tcBorders/>
            <w:shd w:val="clear" w:color="auto" w:fill="auto"/>
            <w:vAlign w:val="center"/>
          </w:tcPr>
          <w:p w14:paraId="1AE24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493342C3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733" w:type="pct"/>
            <w:shd w:val="clear" w:color="auto" w:fill="auto"/>
            <w:vAlign w:val="center"/>
          </w:tcPr>
          <w:p w14:paraId="78CB88F0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宏杉分布式存储</w:t>
            </w:r>
          </w:p>
          <w:p w14:paraId="457F9CAB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（PACS业务）</w:t>
            </w:r>
          </w:p>
        </w:tc>
        <w:tc>
          <w:tcPr>
            <w:tcW w:w="602" w:type="pct"/>
            <w:shd w:val="clear" w:color="auto" w:fill="auto"/>
            <w:vAlign w:val="center"/>
          </w:tcPr>
          <w:p w14:paraId="676B99AA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267C98ED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7" w:type="pct"/>
            <w:vMerge w:val="continue"/>
            <w:tcBorders/>
            <w:shd w:val="clear" w:color="auto" w:fill="auto"/>
            <w:vAlign w:val="center"/>
          </w:tcPr>
          <w:p w14:paraId="7DFC6E73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  <w:tr w14:paraId="69E9C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jc w:val="center"/>
        </w:trPr>
        <w:tc>
          <w:tcPr>
            <w:tcW w:w="645" w:type="pct"/>
            <w:vMerge w:val="continue"/>
            <w:tcBorders/>
            <w:shd w:val="clear" w:color="auto" w:fill="auto"/>
            <w:vAlign w:val="center"/>
          </w:tcPr>
          <w:p w14:paraId="2AFBF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7D54FB01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733" w:type="pct"/>
            <w:shd w:val="clear" w:color="auto" w:fill="auto"/>
            <w:vAlign w:val="center"/>
          </w:tcPr>
          <w:p w14:paraId="73D70B17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数据中心运维服务</w:t>
            </w:r>
          </w:p>
        </w:tc>
        <w:tc>
          <w:tcPr>
            <w:tcW w:w="602" w:type="pct"/>
            <w:shd w:val="clear" w:color="auto" w:fill="auto"/>
            <w:vAlign w:val="center"/>
          </w:tcPr>
          <w:p w14:paraId="6371678E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759" w:type="pct"/>
            <w:shd w:val="clear" w:color="auto" w:fill="auto"/>
            <w:vAlign w:val="center"/>
          </w:tcPr>
          <w:p w14:paraId="14CB0591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827" w:type="pct"/>
            <w:vMerge w:val="continue"/>
            <w:tcBorders/>
            <w:shd w:val="clear" w:color="auto" w:fill="auto"/>
            <w:vAlign w:val="center"/>
          </w:tcPr>
          <w:p w14:paraId="38109130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</w:p>
        </w:tc>
      </w:tr>
    </w:tbl>
    <w:p w14:paraId="628A57FC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jc w:val="center"/>
        <w:rPr>
          <w:rFonts w:hint="default" w:cs="宋体"/>
          <w:b/>
          <w:bCs/>
          <w:sz w:val="28"/>
          <w:szCs w:val="28"/>
          <w:lang w:val="en-US" w:eastAsia="zh-CN"/>
        </w:rPr>
      </w:pPr>
    </w:p>
    <w:p w14:paraId="30A9BFBF">
      <w:pPr>
        <w:pStyle w:val="9"/>
        <w:spacing w:before="0" w:beforeAutospacing="0" w:after="0" w:afterAutospacing="0" w:line="440" w:lineRule="exact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7F9E1E74">
      <w:pPr>
        <w:pStyle w:val="9"/>
        <w:spacing w:before="0" w:beforeAutospacing="0" w:after="0" w:afterAutospacing="0" w:line="440" w:lineRule="exact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04FC0AF6">
      <w:pPr>
        <w:pStyle w:val="9"/>
        <w:spacing w:before="0" w:beforeAutospacing="0" w:after="0" w:afterAutospacing="0" w:line="440" w:lineRule="exact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759D41E0">
      <w:pPr>
        <w:pStyle w:val="9"/>
        <w:spacing w:before="0" w:beforeAutospacing="0" w:after="0" w:afterAutospacing="0" w:line="440" w:lineRule="exact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1B6EA27E">
      <w:pPr>
        <w:pStyle w:val="9"/>
        <w:spacing w:before="0" w:beforeAutospacing="0" w:after="0" w:afterAutospacing="0" w:line="440" w:lineRule="exact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32756C1B">
      <w:pPr>
        <w:pStyle w:val="9"/>
        <w:spacing w:before="0" w:beforeAutospacing="0" w:after="0" w:afterAutospacing="0" w:line="440" w:lineRule="exact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635D7292">
      <w:pPr>
        <w:pStyle w:val="9"/>
        <w:spacing w:before="0" w:beforeAutospacing="0" w:after="0" w:afterAutospacing="0" w:line="440" w:lineRule="exact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1AE5A88F">
      <w:pPr>
        <w:pStyle w:val="9"/>
        <w:spacing w:before="0" w:beforeAutospacing="0" w:after="0" w:afterAutospacing="0" w:line="440" w:lineRule="exact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718EE85F">
      <w:pPr>
        <w:pStyle w:val="9"/>
        <w:spacing w:before="0" w:beforeAutospacing="0" w:after="0" w:afterAutospacing="0" w:line="440" w:lineRule="exact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2453E17D">
      <w:pPr>
        <w:pStyle w:val="9"/>
        <w:spacing w:before="0" w:beforeAutospacing="0" w:after="0" w:afterAutospacing="0" w:line="440" w:lineRule="exact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7FD0C845">
      <w:pPr>
        <w:pStyle w:val="9"/>
        <w:spacing w:before="0" w:beforeAutospacing="0" w:after="0" w:afterAutospacing="0" w:line="440" w:lineRule="exact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73D5ADE2">
      <w:pPr>
        <w:pStyle w:val="9"/>
        <w:spacing w:before="0" w:beforeAutospacing="0" w:after="0" w:afterAutospacing="0" w:line="440" w:lineRule="exact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17808C1A">
      <w:pPr>
        <w:pStyle w:val="9"/>
        <w:spacing w:before="0" w:beforeAutospacing="0" w:after="0" w:afterAutospacing="0" w:line="440" w:lineRule="exact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240C1F00">
      <w:pPr>
        <w:pStyle w:val="9"/>
        <w:spacing w:before="0" w:beforeAutospacing="0" w:after="0" w:afterAutospacing="0" w:line="440" w:lineRule="exact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7184BB18">
      <w:pPr>
        <w:pStyle w:val="9"/>
        <w:spacing w:before="0" w:beforeAutospacing="0" w:after="0" w:afterAutospacing="0" w:line="440" w:lineRule="exact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  <w:r>
        <w:rPr>
          <w:rFonts w:hint="eastAsia" w:cs="宋体"/>
          <w:b/>
          <w:bCs/>
          <w:sz w:val="30"/>
          <w:szCs w:val="30"/>
          <w:lang w:val="en-US" w:eastAsia="zh-CN"/>
        </w:rPr>
        <w:t>附件2：评分方法</w:t>
      </w:r>
    </w:p>
    <w:p w14:paraId="4FBED4CB">
      <w:pPr>
        <w:pStyle w:val="9"/>
        <w:spacing w:before="0" w:beforeAutospacing="0" w:after="0" w:afterAutospacing="0" w:line="440" w:lineRule="exact"/>
        <w:jc w:val="left"/>
        <w:rPr>
          <w:rFonts w:hint="default" w:cs="宋体"/>
          <w:b/>
          <w:bCs/>
          <w:sz w:val="30"/>
          <w:szCs w:val="30"/>
          <w:lang w:val="en-US" w:eastAsia="zh-CN"/>
        </w:rPr>
      </w:pPr>
    </w:p>
    <w:tbl>
      <w:tblPr>
        <w:tblStyle w:val="14"/>
        <w:tblpPr w:leftFromText="180" w:rightFromText="180" w:vertAnchor="page" w:horzAnchor="page" w:tblpXSpec="center" w:tblpY="2055"/>
        <w:tblOverlap w:val="never"/>
        <w:tblW w:w="85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1"/>
        <w:gridCol w:w="1848"/>
        <w:gridCol w:w="1926"/>
        <w:gridCol w:w="2107"/>
        <w:gridCol w:w="2025"/>
      </w:tblGrid>
      <w:tr w14:paraId="4D96B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885" w:hRule="atLeast"/>
          <w:jc w:val="center"/>
        </w:trPr>
        <w:tc>
          <w:tcPr>
            <w:tcW w:w="2479" w:type="dxa"/>
            <w:gridSpan w:val="2"/>
            <w:tcBorders>
              <w:top w:val="single" w:color="DA554F" w:sz="12" w:space="0"/>
              <w:left w:val="single" w:color="DA554F" w:sz="12" w:space="0"/>
              <w:bottom w:val="single" w:color="E68F8A" w:sz="4" w:space="0"/>
              <w:right w:val="single" w:color="E68F8A" w:sz="4" w:space="0"/>
              <w:tl2br w:val="single" w:color="000000" w:sz="4" w:space="0"/>
            </w:tcBorders>
            <w:shd w:val="clear" w:color="auto" w:fill="F1CAC2"/>
            <w:noWrap w:val="0"/>
            <w:vAlign w:val="top"/>
          </w:tcPr>
          <w:p w14:paraId="44FA3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firstLine="960" w:firstLineChars="4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投标单位</w:t>
            </w:r>
          </w:p>
          <w:p w14:paraId="0C7F0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0A321B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分值</w:t>
            </w:r>
          </w:p>
        </w:tc>
        <w:tc>
          <w:tcPr>
            <w:tcW w:w="1926" w:type="dxa"/>
            <w:tcBorders>
              <w:top w:val="single" w:color="DA554F" w:sz="12" w:space="0"/>
              <w:left w:val="single" w:color="E68F8A" w:sz="4" w:space="0"/>
              <w:bottom w:val="single" w:color="E68F8A" w:sz="4" w:space="0"/>
              <w:right w:val="single" w:color="E68F8A" w:sz="4" w:space="0"/>
            </w:tcBorders>
            <w:shd w:val="clear" w:color="auto" w:fill="F1CAC2"/>
            <w:noWrap w:val="0"/>
            <w:vAlign w:val="center"/>
          </w:tcPr>
          <w:p w14:paraId="6B34A3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XXX公司</w:t>
            </w:r>
          </w:p>
        </w:tc>
        <w:tc>
          <w:tcPr>
            <w:tcW w:w="2107" w:type="dxa"/>
            <w:tcBorders>
              <w:top w:val="single" w:color="DA554F" w:sz="12" w:space="0"/>
              <w:left w:val="single" w:color="E68F8A" w:sz="4" w:space="0"/>
              <w:bottom w:val="single" w:color="E68F8A" w:sz="4" w:space="0"/>
              <w:right w:val="single" w:color="E68F8A" w:sz="4" w:space="0"/>
            </w:tcBorders>
            <w:shd w:val="clear" w:color="auto" w:fill="F1CAC2"/>
            <w:noWrap w:val="0"/>
            <w:vAlign w:val="center"/>
          </w:tcPr>
          <w:p w14:paraId="7581C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XXX公司</w:t>
            </w:r>
          </w:p>
        </w:tc>
        <w:tc>
          <w:tcPr>
            <w:tcW w:w="2025" w:type="dxa"/>
            <w:tcBorders>
              <w:top w:val="single" w:color="DA554F" w:sz="12" w:space="0"/>
              <w:left w:val="single" w:color="E68F8A" w:sz="4" w:space="0"/>
              <w:bottom w:val="single" w:color="E68F8A" w:sz="4" w:space="0"/>
              <w:right w:val="single" w:color="DA554F" w:sz="4" w:space="0"/>
            </w:tcBorders>
            <w:shd w:val="clear" w:color="auto" w:fill="F1CAC2"/>
            <w:noWrap w:val="0"/>
            <w:vAlign w:val="center"/>
          </w:tcPr>
          <w:p w14:paraId="7ABC2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XXX公司</w:t>
            </w:r>
          </w:p>
        </w:tc>
      </w:tr>
      <w:tr w14:paraId="72004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9" w:hRule="atLeast"/>
          <w:jc w:val="center"/>
        </w:trPr>
        <w:tc>
          <w:tcPr>
            <w:tcW w:w="631" w:type="dxa"/>
            <w:tcBorders>
              <w:top w:val="single" w:color="E68F8A" w:sz="4" w:space="0"/>
              <w:left w:val="single" w:color="DA554F" w:sz="12" w:space="0"/>
              <w:bottom w:val="single" w:color="E68F8A" w:sz="4" w:space="0"/>
              <w:right w:val="single" w:color="E68F8A" w:sz="4" w:space="0"/>
            </w:tcBorders>
            <w:shd w:val="clear" w:color="auto" w:fill="FDF7F6"/>
            <w:noWrap w:val="0"/>
            <w:vAlign w:val="center"/>
          </w:tcPr>
          <w:p w14:paraId="203E4D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商</w:t>
            </w:r>
          </w:p>
          <w:p w14:paraId="4BA35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务</w:t>
            </w:r>
          </w:p>
          <w:p w14:paraId="70844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分15分</w:t>
            </w:r>
          </w:p>
        </w:tc>
        <w:tc>
          <w:tcPr>
            <w:tcW w:w="1848" w:type="dxa"/>
            <w:tcBorders>
              <w:top w:val="single" w:color="E68F8A" w:sz="4" w:space="0"/>
              <w:left w:val="single" w:color="E68F8A" w:sz="4" w:space="0"/>
              <w:right w:val="single" w:color="E68F8A" w:sz="4" w:space="0"/>
            </w:tcBorders>
            <w:shd w:val="clear" w:color="auto" w:fill="F1CAC2"/>
            <w:noWrap w:val="0"/>
            <w:vAlign w:val="center"/>
          </w:tcPr>
          <w:p w14:paraId="56AE9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资质审查与公司业绩（满分15分)</w:t>
            </w:r>
          </w:p>
          <w:p w14:paraId="1365D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每提供一条相同服务业绩得3分，满分15分</w:t>
            </w:r>
          </w:p>
        </w:tc>
        <w:tc>
          <w:tcPr>
            <w:tcW w:w="1926" w:type="dxa"/>
            <w:tcBorders>
              <w:top w:val="single" w:color="E68F8A" w:sz="4" w:space="0"/>
              <w:left w:val="single" w:color="E68F8A" w:sz="4" w:space="0"/>
              <w:right w:val="single" w:color="E68F8A" w:sz="4" w:space="0"/>
            </w:tcBorders>
            <w:shd w:val="clear" w:color="auto" w:fill="FDF7F6"/>
            <w:noWrap w:val="0"/>
            <w:vAlign w:val="center"/>
          </w:tcPr>
          <w:p w14:paraId="33B3E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107" w:type="dxa"/>
            <w:tcBorders>
              <w:top w:val="single" w:color="E68F8A" w:sz="4" w:space="0"/>
              <w:left w:val="single" w:color="E68F8A" w:sz="4" w:space="0"/>
              <w:right w:val="single" w:color="DA554F" w:sz="4" w:space="0"/>
            </w:tcBorders>
            <w:shd w:val="clear" w:color="auto" w:fill="F1CAC2"/>
            <w:noWrap w:val="0"/>
            <w:vAlign w:val="center"/>
          </w:tcPr>
          <w:p w14:paraId="4F7A7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</w:p>
        </w:tc>
        <w:tc>
          <w:tcPr>
            <w:tcW w:w="2025" w:type="dxa"/>
            <w:tcBorders>
              <w:top w:val="single" w:color="E68F8A" w:sz="4" w:space="0"/>
              <w:left w:val="single" w:color="DA554F" w:sz="4" w:space="0"/>
              <w:bottom w:val="single" w:color="E68F8A" w:sz="4" w:space="0"/>
              <w:right w:val="single" w:color="E68F8A" w:sz="4" w:space="0"/>
            </w:tcBorders>
            <w:shd w:val="clear" w:color="auto" w:fill="FDF7F6"/>
            <w:noWrap w:val="0"/>
            <w:vAlign w:val="center"/>
          </w:tcPr>
          <w:p w14:paraId="66288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79207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00" w:hRule="atLeast"/>
          <w:jc w:val="center"/>
        </w:trPr>
        <w:tc>
          <w:tcPr>
            <w:tcW w:w="631" w:type="dxa"/>
            <w:tcBorders>
              <w:top w:val="single" w:color="E68F8A" w:sz="4" w:space="0"/>
              <w:left w:val="single" w:color="DA554F" w:sz="12" w:space="0"/>
              <w:bottom w:val="single" w:color="E68F8A" w:sz="4" w:space="0"/>
              <w:right w:val="single" w:color="E68F8A" w:sz="4" w:space="0"/>
            </w:tcBorders>
            <w:shd w:val="clear" w:color="auto" w:fill="FDF7F6"/>
            <w:noWrap w:val="0"/>
            <w:vAlign w:val="center"/>
          </w:tcPr>
          <w:p w14:paraId="552268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价</w:t>
            </w:r>
          </w:p>
          <w:p w14:paraId="4FDB4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格</w:t>
            </w:r>
          </w:p>
          <w:p w14:paraId="21526B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分35分</w:t>
            </w:r>
          </w:p>
        </w:tc>
        <w:tc>
          <w:tcPr>
            <w:tcW w:w="1848" w:type="dxa"/>
            <w:tcBorders>
              <w:top w:val="single" w:color="E68F8A" w:sz="4" w:space="0"/>
              <w:left w:val="single" w:color="E68F8A" w:sz="4" w:space="0"/>
              <w:bottom w:val="single" w:color="E68F8A" w:sz="4" w:space="0"/>
              <w:right w:val="single" w:color="E68F8A" w:sz="4" w:space="0"/>
            </w:tcBorders>
            <w:shd w:val="clear" w:color="auto" w:fill="F1CAC2"/>
            <w:noWrap w:val="0"/>
            <w:vAlign w:val="center"/>
          </w:tcPr>
          <w:p w14:paraId="7C250A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项目报价（满分35分)</w:t>
            </w:r>
          </w:p>
          <w:p w14:paraId="45F2E7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报价最低得满分35分，按报价高低依次递减3分</w:t>
            </w:r>
          </w:p>
        </w:tc>
        <w:tc>
          <w:tcPr>
            <w:tcW w:w="1926" w:type="dxa"/>
            <w:tcBorders>
              <w:top w:val="single" w:color="E68F8A" w:sz="4" w:space="0"/>
              <w:left w:val="single" w:color="E68F8A" w:sz="4" w:space="0"/>
              <w:bottom w:val="single" w:color="E68F8A" w:sz="4" w:space="0"/>
              <w:right w:val="single" w:color="E68F8A" w:sz="4" w:space="0"/>
            </w:tcBorders>
            <w:shd w:val="clear" w:color="auto" w:fill="FDF7F6"/>
            <w:noWrap w:val="0"/>
            <w:vAlign w:val="center"/>
          </w:tcPr>
          <w:p w14:paraId="6A74F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657165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107" w:type="dxa"/>
            <w:tcBorders>
              <w:top w:val="single" w:color="E68F8A" w:sz="4" w:space="0"/>
              <w:left w:val="single" w:color="E68F8A" w:sz="4" w:space="0"/>
              <w:bottom w:val="single" w:color="E68F8A" w:sz="4" w:space="0"/>
              <w:right w:val="single" w:color="DA554F" w:sz="4" w:space="0"/>
            </w:tcBorders>
            <w:shd w:val="clear" w:color="auto" w:fill="F1CAC2"/>
            <w:noWrap w:val="0"/>
            <w:vAlign w:val="center"/>
          </w:tcPr>
          <w:p w14:paraId="70323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  <w:p w14:paraId="268555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025" w:type="dxa"/>
            <w:tcBorders>
              <w:top w:val="single" w:color="E68F8A" w:sz="4" w:space="0"/>
              <w:left w:val="single" w:color="DA554F" w:sz="4" w:space="0"/>
              <w:bottom w:val="single" w:color="E68F8A" w:sz="4" w:space="0"/>
              <w:right w:val="single" w:color="E68F8A" w:sz="4" w:space="0"/>
            </w:tcBorders>
            <w:shd w:val="clear" w:color="auto" w:fill="FDF7F6"/>
            <w:noWrap w:val="0"/>
            <w:vAlign w:val="center"/>
          </w:tcPr>
          <w:p w14:paraId="1AA6B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1A25B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92" w:hRule="atLeast"/>
          <w:jc w:val="center"/>
        </w:trPr>
        <w:tc>
          <w:tcPr>
            <w:tcW w:w="631" w:type="dxa"/>
            <w:vMerge w:val="restart"/>
            <w:tcBorders>
              <w:top w:val="single" w:color="E68F8A" w:sz="4" w:space="0"/>
              <w:left w:val="single" w:color="DA554F" w:sz="12" w:space="0"/>
              <w:bottom w:val="single" w:color="E68F8A" w:sz="4" w:space="0"/>
              <w:right w:val="single" w:color="E68F8A" w:sz="4" w:space="0"/>
            </w:tcBorders>
            <w:shd w:val="clear" w:color="auto" w:fill="FDF7F6"/>
            <w:noWrap w:val="0"/>
            <w:vAlign w:val="center"/>
          </w:tcPr>
          <w:p w14:paraId="116949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服务内容及满意度</w:t>
            </w:r>
          </w:p>
          <w:p w14:paraId="17F74C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50分</w:t>
            </w:r>
          </w:p>
        </w:tc>
        <w:tc>
          <w:tcPr>
            <w:tcW w:w="1848" w:type="dxa"/>
            <w:tcBorders>
              <w:top w:val="single" w:color="E68F8A" w:sz="4" w:space="0"/>
              <w:left w:val="single" w:color="E68F8A" w:sz="4" w:space="0"/>
              <w:bottom w:val="single" w:color="E68F8A" w:sz="4" w:space="0"/>
              <w:right w:val="single" w:color="E68F8A" w:sz="4" w:space="0"/>
            </w:tcBorders>
            <w:shd w:val="clear" w:color="auto" w:fill="F1CAC2"/>
            <w:noWrap w:val="0"/>
            <w:vAlign w:val="center"/>
          </w:tcPr>
          <w:p w14:paraId="5C5C3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满足服务内容（满分40分)每一条参数不满足扣2分扣完为止</w:t>
            </w:r>
          </w:p>
        </w:tc>
        <w:tc>
          <w:tcPr>
            <w:tcW w:w="1926" w:type="dxa"/>
            <w:tcBorders>
              <w:top w:val="single" w:color="E68F8A" w:sz="4" w:space="0"/>
              <w:left w:val="single" w:color="E68F8A" w:sz="4" w:space="0"/>
              <w:bottom w:val="single" w:color="E68F8A" w:sz="4" w:space="0"/>
              <w:right w:val="single" w:color="E68F8A" w:sz="4" w:space="0"/>
            </w:tcBorders>
            <w:shd w:val="clear" w:color="auto" w:fill="FDF7F6"/>
            <w:noWrap w:val="0"/>
            <w:vAlign w:val="center"/>
          </w:tcPr>
          <w:p w14:paraId="1353E1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107" w:type="dxa"/>
            <w:tcBorders>
              <w:top w:val="single" w:color="E68F8A" w:sz="4" w:space="0"/>
              <w:left w:val="single" w:color="E68F8A" w:sz="4" w:space="0"/>
              <w:bottom w:val="single" w:color="E68F8A" w:sz="4" w:space="0"/>
              <w:right w:val="single" w:color="DA554F" w:sz="4" w:space="0"/>
            </w:tcBorders>
            <w:shd w:val="clear" w:color="auto" w:fill="F1CAC2"/>
            <w:noWrap w:val="0"/>
            <w:vAlign w:val="center"/>
          </w:tcPr>
          <w:p w14:paraId="294555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025" w:type="dxa"/>
            <w:tcBorders>
              <w:top w:val="single" w:color="E68F8A" w:sz="4" w:space="0"/>
              <w:left w:val="single" w:color="DA554F" w:sz="4" w:space="0"/>
              <w:bottom w:val="single" w:color="E68F8A" w:sz="4" w:space="0"/>
              <w:right w:val="single" w:color="E68F8A" w:sz="4" w:space="0"/>
            </w:tcBorders>
            <w:shd w:val="clear" w:color="auto" w:fill="FDF7F6"/>
            <w:noWrap w:val="0"/>
            <w:vAlign w:val="center"/>
          </w:tcPr>
          <w:p w14:paraId="5671DD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30584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8" w:hRule="atLeast"/>
          <w:jc w:val="center"/>
        </w:trPr>
        <w:tc>
          <w:tcPr>
            <w:tcW w:w="631" w:type="dxa"/>
            <w:vMerge w:val="continue"/>
            <w:tcBorders>
              <w:top w:val="single" w:color="E68F8A" w:sz="4" w:space="0"/>
              <w:left w:val="single" w:color="DA554F" w:sz="12" w:space="0"/>
              <w:bottom w:val="single" w:color="E68F8A" w:sz="4" w:space="0"/>
              <w:right w:val="single" w:color="E68F8A" w:sz="4" w:space="0"/>
            </w:tcBorders>
            <w:shd w:val="clear" w:color="auto" w:fill="FDF7F6"/>
            <w:noWrap w:val="0"/>
            <w:vAlign w:val="center"/>
          </w:tcPr>
          <w:p w14:paraId="18209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848" w:type="dxa"/>
            <w:tcBorders>
              <w:top w:val="single" w:color="E68F8A" w:sz="4" w:space="0"/>
              <w:left w:val="single" w:color="E68F8A" w:sz="4" w:space="0"/>
              <w:bottom w:val="single" w:color="E68F8A" w:sz="4" w:space="0"/>
              <w:right w:val="single" w:color="E68F8A" w:sz="4" w:space="0"/>
            </w:tcBorders>
            <w:shd w:val="clear" w:color="auto" w:fill="F1CAC2"/>
            <w:noWrap w:val="0"/>
            <w:vAlign w:val="center"/>
          </w:tcPr>
          <w:p w14:paraId="7467B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服务方案满意度（满分10分)优10~7分、良6~4分、一般3~0分</w:t>
            </w:r>
          </w:p>
        </w:tc>
        <w:tc>
          <w:tcPr>
            <w:tcW w:w="1926" w:type="dxa"/>
            <w:tcBorders>
              <w:top w:val="single" w:color="E68F8A" w:sz="4" w:space="0"/>
              <w:left w:val="single" w:color="E68F8A" w:sz="4" w:space="0"/>
              <w:bottom w:val="single" w:color="E68F8A" w:sz="4" w:space="0"/>
              <w:right w:val="single" w:color="E68F8A" w:sz="4" w:space="0"/>
            </w:tcBorders>
            <w:shd w:val="clear" w:color="auto" w:fill="FDF7F6"/>
            <w:noWrap w:val="0"/>
            <w:vAlign w:val="center"/>
          </w:tcPr>
          <w:p w14:paraId="00E5A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107" w:type="dxa"/>
            <w:tcBorders>
              <w:top w:val="single" w:color="E68F8A" w:sz="4" w:space="0"/>
              <w:left w:val="single" w:color="E68F8A" w:sz="4" w:space="0"/>
              <w:bottom w:val="single" w:color="E68F8A" w:sz="4" w:space="0"/>
              <w:right w:val="single" w:color="DA554F" w:sz="4" w:space="0"/>
            </w:tcBorders>
            <w:shd w:val="clear" w:color="auto" w:fill="F1CAC2"/>
            <w:noWrap w:val="0"/>
            <w:vAlign w:val="center"/>
          </w:tcPr>
          <w:p w14:paraId="31E1A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025" w:type="dxa"/>
            <w:tcBorders>
              <w:top w:val="single" w:color="E68F8A" w:sz="4" w:space="0"/>
              <w:left w:val="single" w:color="DA554F" w:sz="4" w:space="0"/>
              <w:bottom w:val="single" w:color="E68F8A" w:sz="4" w:space="0"/>
              <w:right w:val="single" w:color="E68F8A" w:sz="4" w:space="0"/>
            </w:tcBorders>
            <w:shd w:val="clear" w:color="auto" w:fill="FDF7F6"/>
            <w:noWrap w:val="0"/>
            <w:vAlign w:val="center"/>
          </w:tcPr>
          <w:p w14:paraId="5C6F68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 w14:paraId="0E2F2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4" w:hRule="atLeast"/>
          <w:jc w:val="center"/>
        </w:trPr>
        <w:tc>
          <w:tcPr>
            <w:tcW w:w="631" w:type="dxa"/>
            <w:vMerge w:val="continue"/>
            <w:tcBorders>
              <w:top w:val="single" w:color="E68F8A" w:sz="4" w:space="0"/>
              <w:left w:val="single" w:color="DA554F" w:sz="12" w:space="0"/>
              <w:bottom w:val="single" w:color="E68F8A" w:sz="4" w:space="0"/>
              <w:right w:val="single" w:color="E68F8A" w:sz="4" w:space="0"/>
            </w:tcBorders>
            <w:shd w:val="clear" w:color="auto" w:fill="FDF7F6"/>
            <w:noWrap w:val="0"/>
            <w:vAlign w:val="center"/>
          </w:tcPr>
          <w:p w14:paraId="48D62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848" w:type="dxa"/>
            <w:tcBorders>
              <w:top w:val="single" w:color="E68F8A" w:sz="4" w:space="0"/>
              <w:left w:val="single" w:color="DA554F" w:sz="12" w:space="0"/>
              <w:bottom w:val="single" w:color="E68F8A" w:sz="4" w:space="0"/>
              <w:right w:val="single" w:color="E68F8A" w:sz="4" w:space="0"/>
            </w:tcBorders>
            <w:shd w:val="clear" w:color="auto" w:fill="FDF7F6"/>
            <w:noWrap w:val="0"/>
            <w:vAlign w:val="center"/>
          </w:tcPr>
          <w:p w14:paraId="0402E8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备注</w:t>
            </w:r>
          </w:p>
        </w:tc>
        <w:tc>
          <w:tcPr>
            <w:tcW w:w="1926" w:type="dxa"/>
            <w:tcBorders>
              <w:top w:val="single" w:color="E68F8A" w:sz="4" w:space="0"/>
              <w:left w:val="single" w:color="E68F8A" w:sz="4" w:space="0"/>
              <w:bottom w:val="single" w:color="E68F8A" w:sz="4" w:space="0"/>
              <w:right w:val="single" w:color="E68F8A" w:sz="4" w:space="0"/>
            </w:tcBorders>
            <w:shd w:val="clear" w:color="auto" w:fill="F1CAC2"/>
            <w:noWrap w:val="0"/>
            <w:vAlign w:val="center"/>
          </w:tcPr>
          <w:p w14:paraId="4EE840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107" w:type="dxa"/>
            <w:tcBorders>
              <w:top w:val="single" w:color="E68F8A" w:sz="4" w:space="0"/>
              <w:left w:val="single" w:color="E68F8A" w:sz="4" w:space="0"/>
              <w:bottom w:val="single" w:color="E68F8A" w:sz="4" w:space="0"/>
              <w:right w:val="single" w:color="E68F8A" w:sz="4" w:space="0"/>
            </w:tcBorders>
            <w:shd w:val="clear" w:color="auto" w:fill="FDF7F6"/>
            <w:noWrap w:val="0"/>
            <w:vAlign w:val="center"/>
          </w:tcPr>
          <w:p w14:paraId="6F9CF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025" w:type="dxa"/>
            <w:tcBorders>
              <w:top w:val="single" w:color="E68F8A" w:sz="4" w:space="0"/>
              <w:left w:val="single" w:color="E68F8A" w:sz="4" w:space="0"/>
              <w:bottom w:val="single" w:color="E68F8A" w:sz="4" w:space="0"/>
              <w:right w:val="single" w:color="DA554F" w:sz="4" w:space="0"/>
            </w:tcBorders>
            <w:shd w:val="clear" w:color="auto" w:fill="F1CAC2"/>
            <w:noWrap w:val="0"/>
            <w:vAlign w:val="center"/>
          </w:tcPr>
          <w:p w14:paraId="58F8C2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</w:tbl>
    <w:p w14:paraId="04DFF7C6">
      <w:pPr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41B1575C">
      <w:pPr>
        <w:rPr>
          <w:rFonts w:hint="eastAsia" w:cs="宋体"/>
          <w:b/>
          <w:bCs/>
          <w:sz w:val="30"/>
          <w:szCs w:val="30"/>
          <w:lang w:val="en-US" w:eastAsia="zh-CN"/>
        </w:rPr>
        <w:sectPr>
          <w:pgSz w:w="11906" w:h="16838"/>
          <w:pgMar w:top="1157" w:right="1689" w:bottom="1157" w:left="1689" w:header="851" w:footer="992" w:gutter="0"/>
          <w:cols w:space="425" w:num="1"/>
          <w:docGrid w:type="lines" w:linePitch="312" w:charSpace="0"/>
        </w:sectPr>
      </w:pPr>
    </w:p>
    <w:p w14:paraId="227AACCA">
      <w:pPr>
        <w:spacing w:line="360" w:lineRule="auto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  <w:r>
        <w:rPr>
          <w:rFonts w:hint="eastAsia" w:cs="宋体"/>
          <w:b/>
          <w:bCs/>
          <w:sz w:val="30"/>
          <w:szCs w:val="30"/>
          <w:lang w:val="en-US" w:eastAsia="zh-CN"/>
        </w:rPr>
        <w:t>附件3：</w:t>
      </w:r>
      <w:r>
        <w:rPr>
          <w:rFonts w:hint="eastAsia" w:ascii="宋体" w:hAnsi="宋体"/>
          <w:b/>
          <w:sz w:val="30"/>
          <w:szCs w:val="30"/>
          <w:lang w:val="en-US" w:eastAsia="zh-CN"/>
        </w:rPr>
        <w:t>机房多套存储设备及数据中心运维服务</w:t>
      </w:r>
      <w:r>
        <w:rPr>
          <w:rFonts w:hint="eastAsia" w:ascii="宋体" w:hAnsi="宋体"/>
          <w:b/>
          <w:sz w:val="30"/>
          <w:szCs w:val="30"/>
          <w:lang w:eastAsia="zh-CN"/>
        </w:rPr>
        <w:t>采购</w:t>
      </w:r>
      <w:r>
        <w:rPr>
          <w:rFonts w:hint="eastAsia" w:ascii="宋体" w:hAnsi="宋体"/>
          <w:b/>
          <w:sz w:val="30"/>
          <w:szCs w:val="30"/>
        </w:rPr>
        <w:t>相关</w:t>
      </w:r>
      <w:r>
        <w:rPr>
          <w:rFonts w:hint="eastAsia" w:ascii="宋体" w:hAnsi="宋体"/>
          <w:b/>
          <w:sz w:val="30"/>
          <w:szCs w:val="30"/>
          <w:lang w:val="en-US" w:eastAsia="zh-CN"/>
        </w:rPr>
        <w:t>要求</w:t>
      </w:r>
      <w:r>
        <w:rPr>
          <w:rFonts w:hint="eastAsia" w:cs="宋体"/>
          <w:b/>
          <w:bCs/>
          <w:sz w:val="30"/>
          <w:szCs w:val="30"/>
          <w:lang w:eastAsia="zh-CN"/>
        </w:rPr>
        <w:t>（</w:t>
      </w:r>
      <w:r>
        <w:rPr>
          <w:rFonts w:hint="eastAsia" w:cs="宋体"/>
          <w:b/>
          <w:bCs/>
          <w:sz w:val="30"/>
          <w:szCs w:val="30"/>
          <w:lang w:val="en-US" w:eastAsia="zh-CN"/>
        </w:rPr>
        <w:t>需提供服务内容偏离表）</w:t>
      </w:r>
    </w:p>
    <w:p w14:paraId="0B021DAB">
      <w:pPr>
        <w:spacing w:line="360" w:lineRule="auto"/>
        <w:jc w:val="left"/>
        <w:rPr>
          <w:rFonts w:hint="eastAsia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1、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存储及数据中心</w:t>
      </w:r>
      <w:r>
        <w:rPr>
          <w:rFonts w:hint="eastAsia" w:ascii="黑体" w:hAnsi="黑体" w:eastAsia="黑体"/>
          <w:sz w:val="28"/>
          <w:szCs w:val="28"/>
        </w:rPr>
        <w:t>运维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范围</w:t>
      </w:r>
    </w:p>
    <w:p w14:paraId="67E942B2">
      <w:pPr>
        <w:pStyle w:val="36"/>
        <w:numPr>
          <w:ilvl w:val="0"/>
          <w:numId w:val="1"/>
        </w:numPr>
        <w:ind w:firstLineChars="0"/>
        <w:jc w:val="left"/>
        <w:rPr>
          <w:rFonts w:hint="eastAsia" w:ascii="仿宋_GB2312" w:eastAsia="仿宋_GB2312"/>
        </w:rPr>
      </w:pPr>
      <w:r>
        <w:rPr>
          <w:rFonts w:hint="eastAsia" w:ascii="仿宋_GB2312" w:eastAsia="仿宋_GB2312"/>
          <w:lang w:val="en-US" w:eastAsia="zh-CN"/>
        </w:rPr>
        <w:t>存储运维（不含配件）：</w:t>
      </w:r>
      <w:r>
        <w:rPr>
          <w:rFonts w:hint="eastAsia" w:ascii="仿宋_GB2312" w:eastAsia="仿宋_GB2312"/>
        </w:rPr>
        <w:t>首次维护前对现有DELL</w:t>
      </w:r>
      <w:r>
        <w:rPr>
          <w:rFonts w:hint="eastAsia" w:ascii="仿宋_GB2312" w:eastAsia="仿宋_GB2312"/>
          <w:lang w:eastAsia="zh-CN"/>
        </w:rPr>
        <w:t>、</w:t>
      </w:r>
      <w:r>
        <w:rPr>
          <w:rFonts w:hint="eastAsia" w:ascii="仿宋_GB2312" w:eastAsia="仿宋_GB2312"/>
          <w:lang w:val="en-US" w:eastAsia="zh-CN"/>
        </w:rPr>
        <w:t>宏杉、长城佳华等</w:t>
      </w:r>
      <w:r>
        <w:rPr>
          <w:rFonts w:hint="eastAsia" w:ascii="仿宋_GB2312" w:eastAsia="仿宋_GB2312"/>
        </w:rPr>
        <w:t>共5套存储设备提供一份完整的现状检测报告及系统风险评估，消除硬件方面的风险，使系统抗风险能力能够提高，效能能够显著提升。对机房的物理环境进行全面、详细的分析，并提出相关建议，以便减少由于物理和环境因素所导致的停机时间。制定维护方案，维护方案明确建立维护服务的目标，制定支持服务计划内容，并制作系统配置文档。</w:t>
      </w:r>
    </w:p>
    <w:p w14:paraId="5741986C">
      <w:pPr>
        <w:pStyle w:val="36"/>
        <w:numPr>
          <w:ilvl w:val="0"/>
          <w:numId w:val="1"/>
        </w:numPr>
        <w:ind w:firstLineChars="0"/>
        <w:jc w:val="left"/>
        <w:rPr>
          <w:rFonts w:hint="eastAsia" w:ascii="仿宋_GB2312" w:eastAsia="仿宋_GB2312"/>
        </w:rPr>
      </w:pPr>
      <w:r>
        <w:rPr>
          <w:rFonts w:hint="eastAsia" w:ascii="仿宋_GB2312" w:eastAsia="仿宋_GB2312"/>
          <w:lang w:val="en-US" w:eastAsia="zh-CN"/>
        </w:rPr>
        <w:t>服务器、网络及数据库维护服务和技术支持：包括机房脱保的服务器、网络、数据库、中间件等在内的技术应急响应、故障排除和系统恢复服务。</w:t>
      </w:r>
    </w:p>
    <w:p w14:paraId="16743E5F">
      <w:pPr>
        <w:pStyle w:val="36"/>
        <w:ind w:firstLine="0" w:firstLineChars="0"/>
        <w:rPr>
          <w:rFonts w:ascii="仿宋_GB2312" w:eastAsia="仿宋_GB2312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2、服务支持</w:t>
      </w:r>
    </w:p>
    <w:p w14:paraId="569A5866">
      <w:pPr>
        <w:pStyle w:val="36"/>
        <w:numPr>
          <w:ilvl w:val="0"/>
          <w:numId w:val="2"/>
        </w:numPr>
        <w:ind w:firstLineChars="0"/>
        <w:rPr>
          <w:rFonts w:ascii="仿宋_GB2312" w:eastAsia="仿宋_GB2312"/>
        </w:rPr>
      </w:pPr>
      <w:r>
        <w:rPr>
          <w:rFonts w:hint="eastAsia" w:ascii="仿宋_GB2312" w:eastAsia="仿宋_GB2312"/>
        </w:rPr>
        <w:t>供应商技术人员具有专业认证资质。乙方通过电话为医院提供技术支持，协助医院解决系统日常运行中的问题。服务方应设立7*24小时的技术支持热线，保证医院获得软件日常维护的技术支持，保证医院关于软件的技术性问题得到及时、有效的解答，对于通过电话指导不能解决的故障，乙方在征得甲方同意后，应通过远程接入手段，登录到故障软件，进行故障诊断，查找故障出现的原因，指导现场维护人员处理故障。远程技术支持响应时间小于30分钟。</w:t>
      </w:r>
    </w:p>
    <w:p w14:paraId="5F9756DC">
      <w:pPr>
        <w:pStyle w:val="36"/>
        <w:numPr>
          <w:ilvl w:val="0"/>
          <w:numId w:val="2"/>
        </w:numPr>
        <w:ind w:firstLineChars="0"/>
        <w:rPr>
          <w:rFonts w:ascii="仿宋_GB2312" w:eastAsia="仿宋_GB2312"/>
        </w:rPr>
      </w:pPr>
      <w:r>
        <w:rPr>
          <w:rFonts w:hint="eastAsia" w:ascii="仿宋_GB2312" w:eastAsia="仿宋_GB2312"/>
        </w:rPr>
        <w:t>乙方应为本次项目组织技术服务团队，并指定专人作为项目现场巡检工程师，每季度进行一次现场健康检查，及时发现设备运行中出现的隐患，巡检完成后应有详细的巡检报告，发现问题及时整改。</w:t>
      </w:r>
    </w:p>
    <w:p w14:paraId="0370620E">
      <w:pPr>
        <w:pStyle w:val="36"/>
        <w:numPr>
          <w:ilvl w:val="0"/>
          <w:numId w:val="2"/>
        </w:numPr>
        <w:ind w:firstLineChars="0"/>
        <w:rPr>
          <w:rFonts w:ascii="仿宋_GB2312" w:eastAsia="仿宋_GB2312"/>
        </w:rPr>
      </w:pPr>
      <w:r>
        <w:rPr>
          <w:rFonts w:hint="eastAsia" w:ascii="仿宋_GB2312" w:eastAsia="仿宋_GB2312"/>
        </w:rPr>
        <w:t>提供7*24小时应急现场服务，接到报修电话后5分钟响应，安排经验丰富的技术支持工程师1小时内赶到现场分析故障原因，制定故障解决方案，并最终排除故障。</w:t>
      </w:r>
    </w:p>
    <w:p w14:paraId="4BA902EE">
      <w:pPr>
        <w:pStyle w:val="36"/>
        <w:numPr>
          <w:ilvl w:val="0"/>
          <w:numId w:val="2"/>
        </w:numPr>
        <w:ind w:firstLineChars="0"/>
        <w:rPr>
          <w:rFonts w:ascii="仿宋_GB2312" w:eastAsia="仿宋_GB2312"/>
        </w:rPr>
      </w:pPr>
      <w:r>
        <w:rPr>
          <w:rFonts w:hint="eastAsia" w:ascii="仿宋_GB2312" w:eastAsia="仿宋_GB2312"/>
        </w:rPr>
        <w:t>分析甲方设备的实际情况，量身定制出日常管理规范和操作，并提出建议方案。</w:t>
      </w:r>
    </w:p>
    <w:p w14:paraId="4F99347F">
      <w:pPr>
        <w:pStyle w:val="36"/>
        <w:numPr>
          <w:ilvl w:val="0"/>
          <w:numId w:val="2"/>
        </w:numPr>
        <w:ind w:firstLineChars="0"/>
        <w:rPr>
          <w:rFonts w:ascii="仿宋_GB2312" w:eastAsia="仿宋_GB2312"/>
        </w:rPr>
      </w:pPr>
      <w:r>
        <w:rPr>
          <w:rFonts w:hint="eastAsia" w:ascii="仿宋_GB2312" w:eastAsia="仿宋_GB2312"/>
        </w:rPr>
        <w:t>对甲方存储设备可能存在的性能问题，从系统、网络、应用软件及数据库层面存在的主要性能瓶颈，并提出针对性能瓶颈的改进方案，对设备进行整体性能的调整，以保证系统应用业务的效率。</w:t>
      </w:r>
    </w:p>
    <w:p w14:paraId="1875E4A9">
      <w:pPr>
        <w:pStyle w:val="36"/>
        <w:numPr>
          <w:ilvl w:val="0"/>
          <w:numId w:val="2"/>
        </w:numPr>
        <w:ind w:firstLineChars="0"/>
        <w:rPr>
          <w:rFonts w:hint="default" w:ascii="仿宋_GB2312" w:eastAsia="仿宋_GB2312"/>
          <w:lang w:val="en-US" w:eastAsia="zh-CN"/>
        </w:rPr>
      </w:pPr>
      <w:r>
        <w:rPr>
          <w:rFonts w:hint="eastAsia" w:ascii="仿宋_GB2312" w:eastAsia="仿宋_GB2312"/>
        </w:rPr>
        <w:t>定期组织开展存储设备培训及技术交流服务，提高甲方管理人员的操作技能和业务水平。</w:t>
      </w:r>
    </w:p>
    <w:p w14:paraId="09325108">
      <w:pPr>
        <w:spacing w:line="360" w:lineRule="auto"/>
        <w:ind w:left="359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  <w:lang w:val="en-US" w:eastAsia="zh-CN"/>
        </w:rPr>
        <w:t>3</w:t>
      </w:r>
      <w:r>
        <w:rPr>
          <w:rFonts w:hint="eastAsia" w:ascii="黑体" w:hAnsi="黑体" w:eastAsia="黑体"/>
          <w:sz w:val="28"/>
          <w:szCs w:val="28"/>
        </w:rPr>
        <w:t>、服务记录</w:t>
      </w:r>
    </w:p>
    <w:p w14:paraId="55D7DE0D">
      <w:pPr>
        <w:pStyle w:val="36"/>
        <w:rPr>
          <w:rFonts w:ascii="仿宋_GB2312" w:eastAsia="仿宋_GB2312"/>
        </w:rPr>
      </w:pPr>
      <w:r>
        <w:rPr>
          <w:rFonts w:hint="eastAsia" w:ascii="仿宋_GB2312" w:eastAsia="仿宋_GB2312"/>
        </w:rPr>
        <w:t>日常维护、例检、事件处理及紧急故障处理需详细记录，按时提交</w:t>
      </w:r>
      <w:r>
        <w:rPr>
          <w:rFonts w:hint="eastAsia" w:ascii="仿宋_GB2312" w:eastAsia="仿宋_GB2312"/>
          <w:lang w:val="en-US" w:eastAsia="zh-CN"/>
        </w:rPr>
        <w:t>季度</w:t>
      </w:r>
      <w:r>
        <w:rPr>
          <w:rFonts w:hint="eastAsia" w:ascii="仿宋_GB2312" w:eastAsia="仿宋_GB2312"/>
        </w:rPr>
        <w:t>工作报告、巡检记录和运维报告及年度总结报告，发现问题及时汇报整改。具体内容如下：</w:t>
      </w:r>
    </w:p>
    <w:p w14:paraId="56C34EFC">
      <w:pPr>
        <w:pStyle w:val="36"/>
        <w:numPr>
          <w:ilvl w:val="0"/>
          <w:numId w:val="3"/>
        </w:numPr>
        <w:ind w:left="851" w:hanging="371" w:firstLineChars="0"/>
        <w:rPr>
          <w:rFonts w:ascii="仿宋_GB2312" w:eastAsia="仿宋_GB2312"/>
        </w:rPr>
      </w:pPr>
      <w:r>
        <w:rPr>
          <w:rFonts w:hint="eastAsia" w:ascii="仿宋_GB2312" w:eastAsia="仿宋_GB2312"/>
        </w:rPr>
        <w:t>乙方应严格将文档管理贯穿于整个项目全过程中。文档提交及文档质量将作为甲方考核的重要依据，对不能达到服务承诺和标准的情况，甲方将制定相应的追责条款。</w:t>
      </w:r>
    </w:p>
    <w:p w14:paraId="1526FEB6">
      <w:pPr>
        <w:pStyle w:val="36"/>
        <w:numPr>
          <w:ilvl w:val="0"/>
          <w:numId w:val="3"/>
        </w:numPr>
        <w:ind w:left="851" w:hanging="371" w:firstLineChars="0"/>
        <w:rPr>
          <w:rFonts w:ascii="仿宋_GB2312" w:eastAsia="仿宋_GB2312"/>
        </w:rPr>
      </w:pPr>
      <w:r>
        <w:rPr>
          <w:rFonts w:hint="eastAsia" w:ascii="仿宋_GB2312" w:eastAsia="仿宋_GB2312"/>
          <w:lang w:val="en-US" w:eastAsia="zh-CN"/>
        </w:rPr>
        <w:t>季度</w:t>
      </w:r>
      <w:r>
        <w:rPr>
          <w:rFonts w:hint="eastAsia" w:ascii="仿宋_GB2312" w:eastAsia="仿宋_GB2312"/>
        </w:rPr>
        <w:t>巡检报告。巡检工程师每月对设备提供周期性深度健康检查，及时提交详细全面的巡检报告，需要整改的就补充整改建议报告。</w:t>
      </w:r>
    </w:p>
    <w:p w14:paraId="59A76B03">
      <w:pPr>
        <w:pStyle w:val="36"/>
        <w:numPr>
          <w:ilvl w:val="0"/>
          <w:numId w:val="3"/>
        </w:numPr>
        <w:ind w:left="851" w:hanging="371" w:firstLineChars="0"/>
        <w:rPr>
          <w:rFonts w:ascii="仿宋_GB2312" w:eastAsia="仿宋_GB2312"/>
        </w:rPr>
      </w:pPr>
      <w:r>
        <w:rPr>
          <w:rFonts w:hint="eastAsia" w:ascii="仿宋_GB2312" w:eastAsia="仿宋_GB2312"/>
        </w:rPr>
        <w:t>年度服务报告。总结分析全年设备运行情况、服务统计等内容，并提出合理化改进建议，并向甲方进行正式的总结性汇报。报告及全年服务记录装订成册后于每年合同结束前10天内提交。</w:t>
      </w:r>
    </w:p>
    <w:p w14:paraId="5BFBE8EA">
      <w:pPr>
        <w:pStyle w:val="36"/>
        <w:numPr>
          <w:ilvl w:val="0"/>
          <w:numId w:val="3"/>
        </w:numPr>
        <w:ind w:left="851" w:hanging="371" w:firstLineChars="0"/>
        <w:rPr>
          <w:rFonts w:ascii="仿宋_GB2312" w:eastAsia="仿宋_GB2312"/>
        </w:rPr>
      </w:pPr>
      <w:r>
        <w:rPr>
          <w:rFonts w:hint="eastAsia" w:ascii="仿宋_GB2312" w:eastAsia="仿宋_GB2312"/>
        </w:rPr>
        <w:t>故障处理记录。对于故障处理的过程进行详细记录存档，填写《现场服务记录表》。</w:t>
      </w:r>
    </w:p>
    <w:p w14:paraId="356AB4D5">
      <w:pPr>
        <w:pStyle w:val="36"/>
        <w:numPr>
          <w:ilvl w:val="0"/>
          <w:numId w:val="3"/>
        </w:numPr>
        <w:ind w:left="851" w:hanging="371" w:firstLineChars="0"/>
        <w:rPr>
          <w:rFonts w:ascii="仿宋_GB2312" w:eastAsia="仿宋_GB2312"/>
        </w:rPr>
      </w:pPr>
      <w:r>
        <w:rPr>
          <w:rFonts w:hint="eastAsia" w:ascii="仿宋_GB2312" w:eastAsia="仿宋_GB2312"/>
        </w:rPr>
        <w:t>其它方案。根据甲方需要，如发生系统结构，安全加固，打补丁，数据迁移等计划任务时，提交相应方案，供甲方确认。</w:t>
      </w:r>
    </w:p>
    <w:p w14:paraId="3EEAA8E8">
      <w:pPr>
        <w:pStyle w:val="9"/>
        <w:spacing w:before="0" w:beforeAutospacing="0" w:after="0" w:afterAutospacing="0" w:line="440" w:lineRule="exact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2EB236E8">
      <w:pPr>
        <w:pStyle w:val="9"/>
        <w:spacing w:before="0" w:beforeAutospacing="0" w:after="0" w:afterAutospacing="0" w:line="440" w:lineRule="exact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72987EE3">
      <w:pPr>
        <w:pStyle w:val="9"/>
        <w:spacing w:before="0" w:beforeAutospacing="0" w:after="0" w:afterAutospacing="0" w:line="440" w:lineRule="exact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0E9BB2E9">
      <w:pPr>
        <w:pStyle w:val="9"/>
        <w:spacing w:before="0" w:beforeAutospacing="0" w:after="0" w:afterAutospacing="0" w:line="440" w:lineRule="exact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52A70365">
      <w:pPr>
        <w:pStyle w:val="9"/>
        <w:spacing w:before="0" w:beforeAutospacing="0" w:after="0" w:afterAutospacing="0" w:line="440" w:lineRule="exact"/>
        <w:jc w:val="left"/>
        <w:rPr>
          <w:rFonts w:hint="default" w:cs="宋体"/>
          <w:b/>
          <w:bCs/>
          <w:sz w:val="30"/>
          <w:szCs w:val="30"/>
          <w:lang w:val="en-US" w:eastAsia="zh-CN"/>
        </w:rPr>
      </w:pPr>
    </w:p>
    <w:p w14:paraId="0C5222EE">
      <w:pPr>
        <w:keepNext w:val="0"/>
        <w:keepLines w:val="0"/>
        <w:widowControl/>
        <w:numPr>
          <w:ilvl w:val="0"/>
          <w:numId w:val="0"/>
        </w:numPr>
        <w:suppressLineNumbers w:val="0"/>
        <w:spacing w:line="240" w:lineRule="auto"/>
        <w:jc w:val="left"/>
        <w:rPr>
          <w:rFonts w:hint="eastAsia" w:ascii="宋体" w:hAnsi="宋体" w:cs="宋体"/>
          <w:b/>
          <w:bCs w:val="0"/>
          <w:color w:val="000000"/>
          <w:sz w:val="24"/>
          <w:szCs w:val="24"/>
          <w:lang w:val="en-US" w:eastAsia="zh-CN"/>
        </w:rPr>
      </w:pPr>
    </w:p>
    <w:p w14:paraId="54185F30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19901C50">
      <w:pPr>
        <w:keepNext w:val="0"/>
        <w:keepLines w:val="0"/>
        <w:widowControl/>
        <w:suppressLineNumbers w:val="0"/>
        <w:spacing w:line="240" w:lineRule="auto"/>
        <w:jc w:val="left"/>
        <w:rPr>
          <w:rFonts w:hint="default" w:cs="宋体"/>
          <w:b/>
          <w:bCs/>
          <w:sz w:val="30"/>
          <w:szCs w:val="30"/>
          <w:lang w:val="en-US" w:eastAsia="zh-CN"/>
        </w:rPr>
      </w:pPr>
      <w:r>
        <w:rPr>
          <w:rFonts w:hint="eastAsia" w:cs="宋体"/>
          <w:b/>
          <w:bCs/>
          <w:sz w:val="30"/>
          <w:szCs w:val="30"/>
          <w:lang w:val="en-US" w:eastAsia="zh-CN"/>
        </w:rPr>
        <w:t>附件4：服务内容偏离表（模板）</w:t>
      </w:r>
    </w:p>
    <w:p w14:paraId="44770305">
      <w:pPr>
        <w:keepNext w:val="0"/>
        <w:keepLines w:val="0"/>
        <w:widowControl/>
        <w:suppressLineNumbers w:val="0"/>
        <w:spacing w:line="240" w:lineRule="auto"/>
        <w:jc w:val="center"/>
        <w:rPr>
          <w:rFonts w:hint="default" w:cs="宋体"/>
          <w:b/>
          <w:bCs/>
          <w:sz w:val="30"/>
          <w:szCs w:val="30"/>
          <w:lang w:val="en-US" w:eastAsia="zh-CN"/>
        </w:rPr>
      </w:pPr>
      <w:r>
        <w:rPr>
          <w:rFonts w:hint="eastAsia" w:cs="宋体"/>
          <w:b/>
          <w:bCs/>
          <w:sz w:val="30"/>
          <w:szCs w:val="30"/>
          <w:lang w:val="en-US" w:eastAsia="zh-CN"/>
        </w:rPr>
        <w:t>服务内容</w:t>
      </w:r>
      <w:r>
        <w:rPr>
          <w:rFonts w:hint="default" w:cs="宋体"/>
          <w:b/>
          <w:bCs/>
          <w:sz w:val="30"/>
          <w:szCs w:val="30"/>
          <w:lang w:val="en-US" w:eastAsia="zh-CN"/>
        </w:rPr>
        <w:t>响应及偏离表</w:t>
      </w:r>
    </w:p>
    <w:p w14:paraId="5074C8C5">
      <w:pPr>
        <w:keepNext w:val="0"/>
        <w:keepLines w:val="0"/>
        <w:widowControl/>
        <w:suppressLineNumbers w:val="0"/>
        <w:spacing w:line="240" w:lineRule="auto"/>
        <w:jc w:val="center"/>
        <w:rPr>
          <w:rFonts w:hint="default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cs="宋体"/>
          <w:b w:val="0"/>
          <w:bCs w:val="0"/>
          <w:sz w:val="28"/>
          <w:szCs w:val="28"/>
          <w:lang w:val="en-US" w:eastAsia="zh-CN"/>
        </w:rPr>
        <w:t>(由投标人据实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填写</w:t>
      </w:r>
      <w:r>
        <w:rPr>
          <w:rFonts w:hint="default" w:cs="宋体"/>
          <w:b w:val="0"/>
          <w:bCs w:val="0"/>
          <w:sz w:val="28"/>
          <w:szCs w:val="28"/>
          <w:lang w:val="en-US" w:eastAsia="zh-CN"/>
        </w:rPr>
        <w:t>)</w:t>
      </w:r>
    </w:p>
    <w:tbl>
      <w:tblPr>
        <w:tblStyle w:val="15"/>
        <w:tblW w:w="11101" w:type="dxa"/>
        <w:tblInd w:w="-12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950"/>
        <w:gridCol w:w="1977"/>
        <w:gridCol w:w="2904"/>
        <w:gridCol w:w="2128"/>
        <w:gridCol w:w="1323"/>
      </w:tblGrid>
      <w:tr w14:paraId="58399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819" w:type="dxa"/>
            <w:vAlign w:val="center"/>
          </w:tcPr>
          <w:p w14:paraId="19E8C0A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950" w:type="dxa"/>
            <w:vAlign w:val="center"/>
          </w:tcPr>
          <w:p w14:paraId="2DCFEFE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  <w:t>招标</w:t>
            </w:r>
            <w:r>
              <w:rPr>
                <w:rFonts w:hint="eastAsia" w:cs="宋体"/>
                <w:b w:val="0"/>
                <w:bCs w:val="0"/>
                <w:sz w:val="21"/>
                <w:szCs w:val="21"/>
                <w:lang w:val="en-US" w:eastAsia="zh-CN"/>
              </w:rPr>
              <w:t>服务内容</w:t>
            </w:r>
          </w:p>
        </w:tc>
        <w:tc>
          <w:tcPr>
            <w:tcW w:w="1977" w:type="dxa"/>
            <w:vAlign w:val="center"/>
          </w:tcPr>
          <w:p w14:paraId="034AA82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  <w:t>投标</w:t>
            </w:r>
            <w:r>
              <w:rPr>
                <w:rFonts w:hint="eastAsia" w:cs="宋体"/>
                <w:b w:val="0"/>
                <w:bCs w:val="0"/>
                <w:sz w:val="21"/>
                <w:szCs w:val="21"/>
                <w:lang w:val="en-US" w:eastAsia="zh-CN"/>
              </w:rPr>
              <w:t>服务</w:t>
            </w:r>
            <w:r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  <w:t>实际</w:t>
            </w:r>
            <w:r>
              <w:rPr>
                <w:rFonts w:hint="eastAsia" w:cs="宋体"/>
                <w:b w:val="0"/>
                <w:bCs w:val="0"/>
                <w:sz w:val="21"/>
                <w:szCs w:val="21"/>
                <w:lang w:val="en-US" w:eastAsia="zh-CN"/>
              </w:rPr>
              <w:t>内容</w:t>
            </w:r>
          </w:p>
        </w:tc>
        <w:tc>
          <w:tcPr>
            <w:tcW w:w="2904" w:type="dxa"/>
            <w:vAlign w:val="center"/>
          </w:tcPr>
          <w:p w14:paraId="0D1F0AC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 w:val="0"/>
                <w:bCs w:val="0"/>
                <w:sz w:val="21"/>
                <w:szCs w:val="21"/>
                <w:lang w:val="en-US" w:eastAsia="zh-CN"/>
              </w:rPr>
              <w:t>服务内容</w:t>
            </w:r>
            <w:bookmarkStart w:id="0" w:name="_GoBack"/>
            <w:bookmarkEnd w:id="0"/>
            <w:r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  <w:t>证明材料</w:t>
            </w:r>
          </w:p>
          <w:p w14:paraId="1C0558B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  <w:t>出处</w:t>
            </w:r>
            <w:r>
              <w:rPr>
                <w:rFonts w:hint="eastAsia" w:cs="宋体"/>
                <w:b w:val="0"/>
                <w:bCs w:val="0"/>
                <w:sz w:val="21"/>
                <w:szCs w:val="21"/>
                <w:lang w:val="en-US" w:eastAsia="zh-CN"/>
              </w:rPr>
              <w:t>及页码</w:t>
            </w:r>
          </w:p>
        </w:tc>
        <w:tc>
          <w:tcPr>
            <w:tcW w:w="2128" w:type="dxa"/>
            <w:vAlign w:val="center"/>
          </w:tcPr>
          <w:p w14:paraId="53447DE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  <w:t>符合/正偏离/负偏离</w:t>
            </w:r>
          </w:p>
        </w:tc>
        <w:tc>
          <w:tcPr>
            <w:tcW w:w="1323" w:type="dxa"/>
            <w:vAlign w:val="center"/>
          </w:tcPr>
          <w:p w14:paraId="34158E9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7C158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</w:tcPr>
          <w:p w14:paraId="475169C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50" w:type="dxa"/>
          </w:tcPr>
          <w:p w14:paraId="2A9CE7E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77" w:type="dxa"/>
          </w:tcPr>
          <w:p w14:paraId="781C266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904" w:type="dxa"/>
          </w:tcPr>
          <w:p w14:paraId="1E5A8B2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28" w:type="dxa"/>
          </w:tcPr>
          <w:p w14:paraId="445D187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23" w:type="dxa"/>
          </w:tcPr>
          <w:p w14:paraId="6840B29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1908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</w:tcPr>
          <w:p w14:paraId="39F762F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50" w:type="dxa"/>
          </w:tcPr>
          <w:p w14:paraId="6AEF4F5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77" w:type="dxa"/>
          </w:tcPr>
          <w:p w14:paraId="7BD627F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904" w:type="dxa"/>
          </w:tcPr>
          <w:p w14:paraId="7C7B74A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28" w:type="dxa"/>
          </w:tcPr>
          <w:p w14:paraId="6303A5A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23" w:type="dxa"/>
          </w:tcPr>
          <w:p w14:paraId="5C943C4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2405F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</w:tcPr>
          <w:p w14:paraId="1B48C21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50" w:type="dxa"/>
          </w:tcPr>
          <w:p w14:paraId="075CEB9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77" w:type="dxa"/>
          </w:tcPr>
          <w:p w14:paraId="7664667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904" w:type="dxa"/>
          </w:tcPr>
          <w:p w14:paraId="7E4C0A3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28" w:type="dxa"/>
          </w:tcPr>
          <w:p w14:paraId="3041248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23" w:type="dxa"/>
          </w:tcPr>
          <w:p w14:paraId="1DEA437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60E63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</w:tcPr>
          <w:p w14:paraId="2348AB3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50" w:type="dxa"/>
          </w:tcPr>
          <w:p w14:paraId="3341502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77" w:type="dxa"/>
          </w:tcPr>
          <w:p w14:paraId="254C1C9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904" w:type="dxa"/>
          </w:tcPr>
          <w:p w14:paraId="2998745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28" w:type="dxa"/>
          </w:tcPr>
          <w:p w14:paraId="3273617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23" w:type="dxa"/>
          </w:tcPr>
          <w:p w14:paraId="3DD069F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15157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</w:tcPr>
          <w:p w14:paraId="70162AA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50" w:type="dxa"/>
          </w:tcPr>
          <w:p w14:paraId="4C442F5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21"/>
                <w:szCs w:val="21"/>
                <w:lang w:val="en-US" w:eastAsia="zh-CN"/>
              </w:rPr>
              <w:t>（根据需要自行增加行、列）</w:t>
            </w:r>
          </w:p>
        </w:tc>
        <w:tc>
          <w:tcPr>
            <w:tcW w:w="1977" w:type="dxa"/>
          </w:tcPr>
          <w:p w14:paraId="148F7E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2904" w:type="dxa"/>
          </w:tcPr>
          <w:p w14:paraId="76CF4A7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28" w:type="dxa"/>
          </w:tcPr>
          <w:p w14:paraId="3F38BE0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23" w:type="dxa"/>
          </w:tcPr>
          <w:p w14:paraId="475AFBF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6A009724">
      <w:pPr>
        <w:keepNext w:val="0"/>
        <w:keepLines w:val="0"/>
        <w:widowControl/>
        <w:suppressLineNumbers w:val="0"/>
        <w:spacing w:line="240" w:lineRule="auto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DB0A865-06C7-46A4-83FE-299B119CE96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C08E2C6-D198-4736-8A66-BF67108A5A71}"/>
  </w:font>
  <w:font w:name="Helvetica">
    <w:altName w:val="Arial"/>
    <w:panose1 w:val="020B0504020202020204"/>
    <w:charset w:val="00"/>
    <w:family w:val="swiss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aiTi_GB2312">
    <w:altName w:val="楷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  <w:embedRegular r:id="rId3" w:fontKey="{B1132130-7FF4-4281-AA9C-D06A0CA1EA7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4B84D8D-E7EE-490B-9354-4224C6020F22}"/>
  </w:font>
  <w:font w:name="KSOF8BCA4F43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5" w:fontKey="{6A7D202A-E781-40C5-A513-E5BE5AC598A1}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8363CD1"/>
    <w:multiLevelType w:val="multilevel"/>
    <w:tmpl w:val="98363CD1"/>
    <w:lvl w:ilvl="0" w:tentative="0">
      <w:start w:val="1"/>
      <w:numFmt w:val="decimal"/>
      <w:lvlText w:val="%1)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0871788F"/>
    <w:multiLevelType w:val="multilevel"/>
    <w:tmpl w:val="0871788F"/>
    <w:lvl w:ilvl="0" w:tentative="0">
      <w:start w:val="1"/>
      <w:numFmt w:val="bullet"/>
      <w:lvlText w:val=""/>
      <w:lvlJc w:val="left"/>
      <w:pPr>
        <w:ind w:left="90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2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74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6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8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0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42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84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60" w:hanging="420"/>
      </w:pPr>
      <w:rPr>
        <w:rFonts w:hint="default" w:ascii="Wingdings" w:hAnsi="Wingdings"/>
      </w:rPr>
    </w:lvl>
  </w:abstractNum>
  <w:abstractNum w:abstractNumId="2">
    <w:nsid w:val="330D417A"/>
    <w:multiLevelType w:val="multilevel"/>
    <w:tmpl w:val="330D417A"/>
    <w:lvl w:ilvl="0" w:tentative="0">
      <w:start w:val="1"/>
      <w:numFmt w:val="decimal"/>
      <w:lvlText w:val="%1)"/>
      <w:lvlJc w:val="left"/>
      <w:pPr>
        <w:ind w:left="900" w:hanging="420"/>
      </w:p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FhOGIyYzRmM2UxZmNkODZkMDJkYjFlMjYyODA1YTcifQ=="/>
  </w:docVars>
  <w:rsids>
    <w:rsidRoot w:val="24D2209E"/>
    <w:rsid w:val="00494ACE"/>
    <w:rsid w:val="007B265A"/>
    <w:rsid w:val="00A55D11"/>
    <w:rsid w:val="00DA5D87"/>
    <w:rsid w:val="0203123B"/>
    <w:rsid w:val="020A2C0E"/>
    <w:rsid w:val="038141F9"/>
    <w:rsid w:val="03DF2018"/>
    <w:rsid w:val="05C83698"/>
    <w:rsid w:val="070E48A8"/>
    <w:rsid w:val="07BC5A28"/>
    <w:rsid w:val="08970D02"/>
    <w:rsid w:val="090633D3"/>
    <w:rsid w:val="0A8A6F01"/>
    <w:rsid w:val="0BB574E9"/>
    <w:rsid w:val="0BC67500"/>
    <w:rsid w:val="0CCA131A"/>
    <w:rsid w:val="0DF33CF1"/>
    <w:rsid w:val="0DF72211"/>
    <w:rsid w:val="0F227162"/>
    <w:rsid w:val="0F5C08A7"/>
    <w:rsid w:val="10A62A18"/>
    <w:rsid w:val="1134315E"/>
    <w:rsid w:val="11BF336F"/>
    <w:rsid w:val="11C97D4A"/>
    <w:rsid w:val="11E626AA"/>
    <w:rsid w:val="11FF749C"/>
    <w:rsid w:val="149A59CD"/>
    <w:rsid w:val="16373051"/>
    <w:rsid w:val="165E7E7E"/>
    <w:rsid w:val="174F484D"/>
    <w:rsid w:val="179A4019"/>
    <w:rsid w:val="189212F3"/>
    <w:rsid w:val="18AD5A80"/>
    <w:rsid w:val="18CE3E98"/>
    <w:rsid w:val="19520625"/>
    <w:rsid w:val="1A120022"/>
    <w:rsid w:val="1AE22727"/>
    <w:rsid w:val="1C042A1F"/>
    <w:rsid w:val="1D57445C"/>
    <w:rsid w:val="1FD004F5"/>
    <w:rsid w:val="20784C33"/>
    <w:rsid w:val="22E542B8"/>
    <w:rsid w:val="24D2209E"/>
    <w:rsid w:val="26B72AA4"/>
    <w:rsid w:val="2B202C91"/>
    <w:rsid w:val="2CCB451E"/>
    <w:rsid w:val="2D7D23EE"/>
    <w:rsid w:val="2DBF5391"/>
    <w:rsid w:val="2DF60F5E"/>
    <w:rsid w:val="2F257DA7"/>
    <w:rsid w:val="2F80457E"/>
    <w:rsid w:val="31572824"/>
    <w:rsid w:val="322C3CB1"/>
    <w:rsid w:val="337551E4"/>
    <w:rsid w:val="349E5471"/>
    <w:rsid w:val="35FF587A"/>
    <w:rsid w:val="37A442EA"/>
    <w:rsid w:val="37F45D2F"/>
    <w:rsid w:val="38213DA4"/>
    <w:rsid w:val="383C5F9A"/>
    <w:rsid w:val="38474F05"/>
    <w:rsid w:val="38D526E1"/>
    <w:rsid w:val="394B75AF"/>
    <w:rsid w:val="3AA86919"/>
    <w:rsid w:val="3AE27603"/>
    <w:rsid w:val="3C2B5111"/>
    <w:rsid w:val="3D626373"/>
    <w:rsid w:val="3DA7680A"/>
    <w:rsid w:val="3EEE1530"/>
    <w:rsid w:val="415648A7"/>
    <w:rsid w:val="41727207"/>
    <w:rsid w:val="42D25330"/>
    <w:rsid w:val="42FA64DC"/>
    <w:rsid w:val="432D3572"/>
    <w:rsid w:val="443D58AA"/>
    <w:rsid w:val="455467A5"/>
    <w:rsid w:val="461E3079"/>
    <w:rsid w:val="46A139FD"/>
    <w:rsid w:val="481007AD"/>
    <w:rsid w:val="49E17296"/>
    <w:rsid w:val="4AC86916"/>
    <w:rsid w:val="4C895DD1"/>
    <w:rsid w:val="4D1B0752"/>
    <w:rsid w:val="4D8E366A"/>
    <w:rsid w:val="4DD454D1"/>
    <w:rsid w:val="4E8C54B1"/>
    <w:rsid w:val="4E9C6081"/>
    <w:rsid w:val="4EBB3F9B"/>
    <w:rsid w:val="4EC10F8B"/>
    <w:rsid w:val="4EDA651C"/>
    <w:rsid w:val="4FDE15A9"/>
    <w:rsid w:val="503C735D"/>
    <w:rsid w:val="51051655"/>
    <w:rsid w:val="51277097"/>
    <w:rsid w:val="51983E64"/>
    <w:rsid w:val="52816664"/>
    <w:rsid w:val="52A05BEE"/>
    <w:rsid w:val="52A13E2E"/>
    <w:rsid w:val="54394300"/>
    <w:rsid w:val="54D97240"/>
    <w:rsid w:val="56116B96"/>
    <w:rsid w:val="58346B6C"/>
    <w:rsid w:val="588B036D"/>
    <w:rsid w:val="58FC1D80"/>
    <w:rsid w:val="59017396"/>
    <w:rsid w:val="5F6E75C9"/>
    <w:rsid w:val="603E67DA"/>
    <w:rsid w:val="60402093"/>
    <w:rsid w:val="62AA0157"/>
    <w:rsid w:val="62E33669"/>
    <w:rsid w:val="63B25E95"/>
    <w:rsid w:val="63D74F7B"/>
    <w:rsid w:val="654952CF"/>
    <w:rsid w:val="6604073B"/>
    <w:rsid w:val="66102866"/>
    <w:rsid w:val="66D31996"/>
    <w:rsid w:val="688F3EA6"/>
    <w:rsid w:val="694035C3"/>
    <w:rsid w:val="69887333"/>
    <w:rsid w:val="6A454942"/>
    <w:rsid w:val="6B8D689A"/>
    <w:rsid w:val="6C445178"/>
    <w:rsid w:val="6C97174C"/>
    <w:rsid w:val="6CFB554B"/>
    <w:rsid w:val="6E1A7C70"/>
    <w:rsid w:val="6E34121C"/>
    <w:rsid w:val="6E5F098F"/>
    <w:rsid w:val="6EFE6B64"/>
    <w:rsid w:val="6FF941E7"/>
    <w:rsid w:val="70B2124A"/>
    <w:rsid w:val="711461F7"/>
    <w:rsid w:val="735E1713"/>
    <w:rsid w:val="74B310ED"/>
    <w:rsid w:val="74BD1F6B"/>
    <w:rsid w:val="753D6B6C"/>
    <w:rsid w:val="75742F72"/>
    <w:rsid w:val="75881A8D"/>
    <w:rsid w:val="782E6441"/>
    <w:rsid w:val="786646C8"/>
    <w:rsid w:val="7877401B"/>
    <w:rsid w:val="78C338C8"/>
    <w:rsid w:val="79E359FC"/>
    <w:rsid w:val="7BAE551E"/>
    <w:rsid w:val="7C0B180E"/>
    <w:rsid w:val="7D3B1B2A"/>
    <w:rsid w:val="7E840087"/>
    <w:rsid w:val="7F20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2"/>
    <w:qFormat/>
    <w:uiPriority w:val="0"/>
    <w:pPr>
      <w:keepNext/>
      <w:keepLines/>
      <w:spacing w:before="260" w:beforeLines="0" w:after="260" w:afterLines="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4"/>
    <w:basedOn w:val="1"/>
    <w:next w:val="1"/>
    <w:autoRedefine/>
    <w:qFormat/>
    <w:uiPriority w:val="0"/>
    <w:pPr>
      <w:keepNext/>
      <w:keepLines/>
      <w:spacing w:before="120" w:after="120" w:line="360" w:lineRule="auto"/>
      <w:outlineLvl w:val="3"/>
    </w:pPr>
    <w:rPr>
      <w:rFonts w:ascii="Arial" w:hAnsi="Arial" w:eastAsia="宋体" w:cs="Times New Roman"/>
      <w:b/>
      <w:bCs/>
      <w:sz w:val="28"/>
      <w:szCs w:val="28"/>
    </w:rPr>
  </w:style>
  <w:style w:type="character" w:default="1" w:styleId="16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able of authorities"/>
    <w:next w:val="1"/>
    <w:autoRedefine/>
    <w:qFormat/>
    <w:uiPriority w:val="0"/>
    <w:pPr>
      <w:widowControl w:val="0"/>
      <w:ind w:left="420" w:leftChars="20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6">
    <w:name w:val="Normal Indent"/>
    <w:basedOn w:val="1"/>
    <w:qFormat/>
    <w:uiPriority w:val="0"/>
    <w:pPr>
      <w:ind w:firstLine="420"/>
    </w:pPr>
  </w:style>
  <w:style w:type="paragraph" w:styleId="7">
    <w:name w:val="Body Text"/>
    <w:basedOn w:val="1"/>
    <w:autoRedefine/>
    <w:qFormat/>
    <w:uiPriority w:val="99"/>
    <w:pPr>
      <w:spacing w:before="0" w:beforeLines="0" w:after="0" w:afterLines="0" w:line="240" w:lineRule="auto"/>
      <w:ind w:firstLine="0" w:firstLineChars="0"/>
    </w:pPr>
    <w:rPr>
      <w:rFonts w:ascii="Helvetica" w:hAnsi="Helvetica" w:eastAsia="黑体" w:cs="Times New Roman"/>
      <w:i/>
      <w:iCs/>
      <w:sz w:val="21"/>
      <w:szCs w:val="20"/>
    </w:rPr>
  </w:style>
  <w:style w:type="paragraph" w:styleId="8">
    <w:name w:val="Body Text Indent"/>
    <w:basedOn w:val="1"/>
    <w:autoRedefine/>
    <w:qFormat/>
    <w:uiPriority w:val="0"/>
    <w:pPr>
      <w:spacing w:after="120" w:afterLines="0"/>
      <w:ind w:left="420" w:leftChars="200"/>
    </w:pPr>
  </w:style>
  <w:style w:type="paragraph" w:styleId="9">
    <w:name w:val="Plain 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0">
    <w:name w:val="footer"/>
    <w:basedOn w:val="1"/>
    <w:link w:val="23"/>
    <w:autoRedefine/>
    <w:qFormat/>
    <w:uiPriority w:val="0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2"/>
    <w:autoRedefine/>
    <w:qFormat/>
    <w:uiPriority w:val="0"/>
    <w:pP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styleId="13">
    <w:name w:val="Title"/>
    <w:basedOn w:val="1"/>
    <w:autoRedefine/>
    <w:qFormat/>
    <w:uiPriority w:val="0"/>
    <w:pPr>
      <w:spacing w:before="240" w:after="60"/>
      <w:jc w:val="center"/>
      <w:outlineLvl w:val="0"/>
    </w:pPr>
    <w:rPr>
      <w:rFonts w:ascii="Arial" w:hAnsi="Arial" w:cs="Times New Roman"/>
      <w:b/>
      <w:sz w:val="32"/>
    </w:r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1"/>
    <w:basedOn w:val="1"/>
    <w:next w:val="8"/>
    <w:autoRedefine/>
    <w:qFormat/>
    <w:uiPriority w:val="0"/>
    <w:pPr>
      <w:widowControl w:val="0"/>
      <w:jc w:val="both"/>
    </w:pPr>
    <w:rPr>
      <w:rFonts w:ascii="宋体" w:hAnsi="Courier New"/>
      <w:kern w:val="2"/>
    </w:rPr>
  </w:style>
  <w:style w:type="paragraph" w:customStyle="1" w:styleId="18">
    <w:name w:val="font5"/>
    <w:basedOn w:val="1"/>
    <w:autoRedefine/>
    <w:qFormat/>
    <w:uiPriority w:val="0"/>
    <w:pPr>
      <w:spacing w:before="100" w:beforeLines="0" w:beforeAutospacing="1" w:after="100" w:afterLines="0" w:afterAutospacing="1"/>
    </w:pPr>
    <w:rPr>
      <w:rFonts w:ascii="宋体" w:hAnsi="宋体" w:cs="宋体"/>
      <w:sz w:val="18"/>
      <w:szCs w:val="18"/>
    </w:rPr>
  </w:style>
  <w:style w:type="paragraph" w:customStyle="1" w:styleId="19">
    <w:name w:val="表格文字"/>
    <w:basedOn w:val="1"/>
    <w:autoRedefine/>
    <w:qFormat/>
    <w:uiPriority w:val="0"/>
    <w:pPr>
      <w:spacing w:before="25" w:after="25"/>
    </w:pPr>
    <w:rPr>
      <w:bCs/>
      <w:spacing w:val="10"/>
      <w:kern w:val="0"/>
    </w:rPr>
  </w:style>
  <w:style w:type="paragraph" w:customStyle="1" w:styleId="20">
    <w:name w:val="Default"/>
    <w:autoRedefine/>
    <w:qFormat/>
    <w:uiPriority w:val="0"/>
    <w:pPr>
      <w:autoSpaceDE w:val="0"/>
      <w:autoSpaceDN w:val="0"/>
      <w:adjustRightInd w:val="0"/>
    </w:pPr>
    <w:rPr>
      <w:rFonts w:ascii="Calibri" w:hAnsi="Calibri" w:eastAsia="宋体" w:cs="Calibri"/>
      <w:color w:val="000000"/>
      <w:sz w:val="24"/>
      <w:szCs w:val="24"/>
      <w:lang w:val="en-US" w:eastAsia="zh-CN" w:bidi="ar-SA"/>
    </w:rPr>
  </w:style>
  <w:style w:type="paragraph" w:styleId="21">
    <w:name w:val="No Spacing"/>
    <w:autoRedefine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22">
    <w:name w:val="页眉 字符"/>
    <w:basedOn w:val="16"/>
    <w:link w:val="11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3">
    <w:name w:val="页脚 字符"/>
    <w:basedOn w:val="16"/>
    <w:link w:val="10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4">
    <w:name w:val="Body text|1"/>
    <w:basedOn w:val="1"/>
    <w:autoRedefine/>
    <w:qFormat/>
    <w:uiPriority w:val="0"/>
    <w:pPr>
      <w:widowControl w:val="0"/>
      <w:shd w:val="clear" w:color="auto" w:fill="auto"/>
      <w:spacing w:after="380"/>
      <w:jc w:val="center"/>
    </w:pPr>
    <w:rPr>
      <w:rFonts w:ascii="宋体" w:hAnsi="宋体" w:eastAsia="宋体" w:cs="宋体"/>
      <w:color w:val="64676B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25">
    <w:name w:val="Other|1"/>
    <w:basedOn w:val="1"/>
    <w:autoRedefine/>
    <w:qFormat/>
    <w:uiPriority w:val="0"/>
    <w:pPr>
      <w:widowControl w:val="0"/>
      <w:shd w:val="clear" w:color="auto" w:fill="auto"/>
    </w:pPr>
    <w:rPr>
      <w:rFonts w:ascii="宋体" w:hAnsi="宋体" w:eastAsia="宋体" w:cs="宋体"/>
      <w:color w:val="7D7E84"/>
      <w:sz w:val="20"/>
      <w:szCs w:val="20"/>
      <w:u w:val="none"/>
      <w:shd w:val="clear" w:color="auto" w:fill="auto"/>
      <w:lang w:val="zh-TW" w:eastAsia="zh-TW" w:bidi="zh-TW"/>
    </w:rPr>
  </w:style>
  <w:style w:type="paragraph" w:styleId="26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7">
    <w:name w:val="null3"/>
    <w:autoRedefine/>
    <w:hidden/>
    <w:qFormat/>
    <w:uiPriority w:val="0"/>
    <w:rPr>
      <w:rFonts w:hint="eastAsia" w:asciiTheme="minorHAnsi" w:hAnsiTheme="minorHAnsi" w:eastAsiaTheme="minorEastAsia" w:cstheme="minorBidi"/>
      <w:kern w:val="0"/>
      <w:sz w:val="20"/>
      <w:szCs w:val="20"/>
      <w:lang w:val="en-US" w:eastAsia="zh-Hans" w:bidi="ar-SA"/>
    </w:rPr>
  </w:style>
  <w:style w:type="paragraph" w:customStyle="1" w:styleId="28">
    <w:name w:val="正文_0"/>
    <w:autoRedefine/>
    <w:qFormat/>
    <w:uiPriority w:val="0"/>
    <w:pPr>
      <w:widowControl w:val="0"/>
      <w:jc w:val="both"/>
    </w:pPr>
    <w:rPr>
      <w:rFonts w:ascii="Times New Roman" w:hAnsi="Times New Roman" w:eastAsia="微软雅黑" w:cs="Times New Roman"/>
      <w:kern w:val="2"/>
      <w:sz w:val="21"/>
      <w:lang w:val="en-US" w:eastAsia="zh-CN" w:bidi="ar-SA"/>
    </w:rPr>
  </w:style>
  <w:style w:type="paragraph" w:customStyle="1" w:styleId="29">
    <w:name w:val="Plain Text"/>
    <w:basedOn w:val="1"/>
    <w:qFormat/>
    <w:uiPriority w:val="0"/>
    <w:rPr>
      <w:rFonts w:ascii="宋体" w:hAnsi="Courier New"/>
      <w:sz w:val="24"/>
      <w:szCs w:val="20"/>
    </w:rPr>
  </w:style>
  <w:style w:type="paragraph" w:customStyle="1" w:styleId="30">
    <w:name w:val="Date"/>
    <w:basedOn w:val="1"/>
    <w:next w:val="1"/>
    <w:qFormat/>
    <w:uiPriority w:val="0"/>
    <w:rPr>
      <w:rFonts w:ascii="Arial" w:hAnsi="Arial" w:eastAsia="KaiTi_GB2312"/>
      <w:sz w:val="28"/>
      <w:szCs w:val="20"/>
    </w:rPr>
  </w:style>
  <w:style w:type="paragraph" w:customStyle="1" w:styleId="31">
    <w:name w:val="列出段落1"/>
    <w:basedOn w:val="1"/>
    <w:qFormat/>
    <w:uiPriority w:val="34"/>
    <w:pPr>
      <w:ind w:firstLine="420" w:firstLineChars="200"/>
      <w:jc w:val="left"/>
    </w:pPr>
    <w:rPr>
      <w:rFonts w:ascii="Courier New" w:hAnsi="Courier New"/>
      <w:snapToGrid w:val="0"/>
      <w:kern w:val="0"/>
      <w:sz w:val="24"/>
      <w:szCs w:val="20"/>
      <w:lang w:eastAsia="en-US"/>
    </w:rPr>
  </w:style>
  <w:style w:type="character" w:customStyle="1" w:styleId="32">
    <w:name w:val="标题 2 Char"/>
    <w:basedOn w:val="16"/>
    <w:link w:val="3"/>
    <w:autoRedefine/>
    <w:qFormat/>
    <w:uiPriority w:val="9"/>
    <w:rPr>
      <w:rFonts w:ascii="Arial" w:hAnsi="Arial" w:eastAsia="黑体"/>
      <w:b/>
      <w:bCs/>
      <w:sz w:val="32"/>
      <w:szCs w:val="32"/>
    </w:rPr>
  </w:style>
  <w:style w:type="paragraph" w:customStyle="1" w:styleId="33">
    <w:name w:val="p15"/>
    <w:basedOn w:val="1"/>
    <w:qFormat/>
    <w:uiPriority w:val="0"/>
    <w:pPr>
      <w:adjustRightInd w:val="0"/>
    </w:pPr>
    <w:rPr>
      <w:rFonts w:ascii="Arial Unicode MS" w:hAnsi="Arial Unicode MS" w:cs="宋体"/>
      <w:color w:val="000000"/>
      <w:szCs w:val="24"/>
    </w:rPr>
  </w:style>
  <w:style w:type="paragraph" w:customStyle="1" w:styleId="34">
    <w:name w:val="列出段落2"/>
    <w:basedOn w:val="1"/>
    <w:qFormat/>
    <w:uiPriority w:val="0"/>
    <w:pPr>
      <w:ind w:firstLine="420" w:firstLineChars="200"/>
    </w:pPr>
  </w:style>
  <w:style w:type="paragraph" w:customStyle="1" w:styleId="35">
    <w:name w:val="Table Paragraph"/>
    <w:basedOn w:val="1"/>
    <w:qFormat/>
    <w:uiPriority w:val="1"/>
    <w:pPr>
      <w:ind w:left="11"/>
      <w:jc w:val="center"/>
    </w:pPr>
    <w:rPr>
      <w:rFonts w:ascii="宋体" w:hAnsi="宋体" w:eastAsia="宋体" w:cs="宋体"/>
      <w:lang w:val="en-US" w:eastAsia="zh-CN" w:bidi="ar-SA"/>
    </w:rPr>
  </w:style>
  <w:style w:type="paragraph" w:customStyle="1" w:styleId="36">
    <w:name w:val="BZ 标准 正文 小五，首行缩2，1.5行距"/>
    <w:basedOn w:val="1"/>
    <w:qFormat/>
    <w:uiPriority w:val="0"/>
    <w:pPr>
      <w:spacing w:line="360" w:lineRule="auto"/>
      <w:ind w:firstLine="480" w:firstLineChars="200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1946</Words>
  <Characters>2093</Characters>
  <Lines>8</Lines>
  <Paragraphs>2</Paragraphs>
  <TotalTime>3</TotalTime>
  <ScaleCrop>false</ScaleCrop>
  <LinksUpToDate>false</LinksUpToDate>
  <CharactersWithSpaces>2211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2023-07-10T10:50:00Z</dcterms:created>
  <dc:creator>农人</dc:creator>
  <cp:lastModifiedBy>吴定银</cp:lastModifiedBy>
  <dcterms:modified xsi:type="dcterms:W3CDTF">2026-10-15T02:09:41Z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7DF4184FBCB7417095EDF6424D74FF6F_13</vt:lpwstr>
  </property>
  <property fmtid="{D5CDD505-2E9C-101B-9397-08002B2CF9AE}" pid="4" name="KSOTemplateDocerSaveRecord">
    <vt:lpwstr>eyJoZGlkIjoiYmM0NzdjN2FkNWFlN2Y3YTk5NzNiZDRkZjhjNDgzOWQiLCJ1c2VySWQiOiIyNzYwMTQ1NDgifQ==</vt:lpwstr>
  </property>
</Properties>
</file>