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5000" w:type="pct"/>
        <w:jc w:val="center"/>
        <w:tblLayout w:type="autofit"/>
        <w:tblCellMar>
          <w:top w:w="0" w:type="dxa"/>
          <w:left w:w="108" w:type="dxa"/>
          <w:bottom w:w="0" w:type="dxa"/>
          <w:right w:w="108" w:type="dxa"/>
        </w:tblCellMar>
      </w:tblPr>
      <w:tblGrid>
        <w:gridCol w:w="8528"/>
      </w:tblGrid>
      <w:tr w14:paraId="3024E62F">
        <w:tblPrEx>
          <w:tblCellMar>
            <w:top w:w="0" w:type="dxa"/>
            <w:left w:w="108" w:type="dxa"/>
            <w:bottom w:w="0" w:type="dxa"/>
            <w:right w:w="108" w:type="dxa"/>
          </w:tblCellMar>
        </w:tblPrEx>
        <w:trPr>
          <w:trHeight w:val="449" w:hRule="atLeast"/>
          <w:jc w:val="center"/>
        </w:trPr>
        <w:tc>
          <w:tcPr>
            <w:tcW w:w="5000" w:type="pct"/>
            <w:tcBorders>
              <w:top w:val="nil"/>
              <w:left w:val="nil"/>
              <w:bottom w:val="nil"/>
              <w:right w:val="nil"/>
            </w:tcBorders>
            <w:noWrap/>
            <w:vAlign w:val="center"/>
          </w:tcPr>
          <w:p w14:paraId="021B3C5C">
            <w:pPr>
              <w:widowControl/>
              <w:jc w:val="center"/>
              <w:textAlignment w:val="center"/>
              <w:rPr>
                <w:rFonts w:ascii="FangSong_GB2312" w:hAnsi="FangSong_GB2312" w:eastAsia="FangSong_GB2312" w:cs="FangSong_GB2312"/>
                <w:b/>
                <w:bCs/>
                <w:color w:val="000000"/>
                <w:sz w:val="24"/>
              </w:rPr>
            </w:pPr>
            <w:r>
              <w:rPr>
                <w:rFonts w:hint="eastAsia" w:ascii="FangSong_GB2312" w:hAnsi="FangSong_GB2312" w:eastAsia="FangSong_GB2312" w:cs="FangSong_GB2312"/>
                <w:b/>
                <w:bCs/>
                <w:color w:val="000000"/>
                <w:kern w:val="0"/>
                <w:sz w:val="28"/>
                <w:szCs w:val="28"/>
                <w:lang w:bidi="ar"/>
              </w:rPr>
              <w:t>贵州航天医院</w:t>
            </w:r>
            <w:r>
              <w:rPr>
                <w:rFonts w:hint="eastAsia" w:ascii="FangSong_GB2312" w:hAnsi="FangSong_GB2312" w:eastAsia="FangSong_GB2312" w:cs="FangSong_GB2312"/>
                <w:b/>
                <w:bCs/>
                <w:color w:val="000000"/>
                <w:kern w:val="0"/>
                <w:sz w:val="28"/>
                <w:szCs w:val="28"/>
                <w:lang w:val="en-US" w:eastAsia="zh-CN" w:bidi="ar"/>
              </w:rPr>
              <w:t>单一来源采购</w:t>
            </w:r>
            <w:r>
              <w:rPr>
                <w:rFonts w:hint="eastAsia" w:ascii="FangSong_GB2312" w:hAnsi="FangSong_GB2312" w:eastAsia="FangSong_GB2312" w:cs="FangSong_GB2312"/>
                <w:b/>
                <w:bCs/>
                <w:color w:val="000000"/>
                <w:kern w:val="0"/>
                <w:sz w:val="28"/>
                <w:szCs w:val="28"/>
                <w:lang w:bidi="ar"/>
              </w:rPr>
              <w:t>公告</w:t>
            </w:r>
          </w:p>
        </w:tc>
      </w:tr>
      <w:tr w14:paraId="08F37DA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37C146FB">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一、项目基本情况：</w:t>
            </w:r>
          </w:p>
        </w:tc>
      </w:tr>
      <w:tr w14:paraId="261E4DF6">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2728600">
            <w:pPr>
              <w:keepNext w:val="0"/>
              <w:keepLines w:val="0"/>
              <w:widowControl/>
              <w:suppressLineNumbers w:val="0"/>
              <w:jc w:val="left"/>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项目名称：贵州航天</w:t>
            </w:r>
            <w:r>
              <w:rPr>
                <w:rFonts w:hint="eastAsia" w:ascii="FangSong_GB2312" w:hAnsi="FangSong_GB2312" w:eastAsia="FangSong_GB2312" w:cs="FangSong_GB2312"/>
                <w:color w:val="000000"/>
                <w:kern w:val="0"/>
                <w:sz w:val="24"/>
                <w:lang w:eastAsia="zh-CN" w:bidi="ar"/>
              </w:rPr>
              <w:t>医院</w:t>
            </w:r>
            <w:r>
              <w:rPr>
                <w:rFonts w:hint="eastAsia" w:ascii="FangSong_GB2312" w:hAnsi="FangSong_GB2312" w:eastAsia="FangSong_GB2312" w:cs="FangSong_GB2312"/>
                <w:color w:val="000000"/>
                <w:kern w:val="0"/>
                <w:sz w:val="24"/>
                <w:lang w:val="en-US" w:eastAsia="zh-CN" w:bidi="ar"/>
              </w:rPr>
              <w:t>PACS系统维保服务单一来源</w:t>
            </w:r>
            <w:r>
              <w:rPr>
                <w:rFonts w:hint="eastAsia" w:ascii="FangSong_GB2312" w:hAnsi="FangSong_GB2312" w:eastAsia="FangSong_GB2312" w:cs="FangSong_GB2312"/>
                <w:color w:val="000000"/>
                <w:kern w:val="0"/>
                <w:sz w:val="24"/>
                <w:lang w:eastAsia="zh-CN" w:bidi="ar"/>
              </w:rPr>
              <w:t>采购</w:t>
            </w:r>
            <w:r>
              <w:rPr>
                <w:rFonts w:hint="eastAsia" w:ascii="FangSong_GB2312" w:hAnsi="FangSong_GB2312" w:eastAsia="FangSong_GB2312" w:cs="FangSong_GB2312"/>
                <w:color w:val="000000"/>
                <w:kern w:val="0"/>
                <w:sz w:val="24"/>
                <w:lang w:bidi="ar"/>
              </w:rPr>
              <w:t>项目</w:t>
            </w:r>
          </w:p>
        </w:tc>
      </w:tr>
      <w:tr w14:paraId="4746C0D9">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9619D9C">
            <w:pPr>
              <w:widowControl/>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 xml:space="preserve">    采购方式：</w:t>
            </w:r>
            <w:r>
              <w:rPr>
                <w:rFonts w:hint="eastAsia" w:ascii="FangSong_GB2312" w:hAnsi="FangSong_GB2312" w:eastAsia="FangSong_GB2312" w:cs="FangSong_GB2312"/>
                <w:color w:val="000000"/>
                <w:kern w:val="0"/>
                <w:sz w:val="24"/>
                <w:lang w:val="en-US" w:eastAsia="zh-CN" w:bidi="ar"/>
              </w:rPr>
              <w:t>单一来源</w:t>
            </w:r>
          </w:p>
        </w:tc>
      </w:tr>
      <w:tr w14:paraId="4CF70CCE">
        <w:tblPrEx>
          <w:tblCellMar>
            <w:top w:w="0" w:type="dxa"/>
            <w:left w:w="108" w:type="dxa"/>
            <w:bottom w:w="0" w:type="dxa"/>
            <w:right w:w="108" w:type="dxa"/>
          </w:tblCellMar>
        </w:tblPrEx>
        <w:trPr>
          <w:trHeight w:val="408" w:hRule="atLeast"/>
          <w:jc w:val="center"/>
        </w:trPr>
        <w:tc>
          <w:tcPr>
            <w:tcW w:w="5000" w:type="pct"/>
            <w:tcBorders>
              <w:top w:val="nil"/>
              <w:left w:val="nil"/>
              <w:bottom w:val="nil"/>
              <w:right w:val="nil"/>
            </w:tcBorders>
            <w:noWrap/>
            <w:vAlign w:val="center"/>
          </w:tcPr>
          <w:p w14:paraId="713AEBD0">
            <w:pPr>
              <w:widowControl/>
              <w:ind w:firstLine="480" w:firstLineChars="200"/>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val="en-US" w:eastAsia="zh-CN" w:bidi="ar"/>
              </w:rPr>
              <w:t>单一来源采购供应商：东软集团股份有限公司或</w:t>
            </w:r>
            <w:r>
              <w:rPr>
                <w:rFonts w:hint="eastAsia" w:ascii="FangSong_GB2312" w:hAnsi="FangSong_GB2312" w:eastAsia="FangSong_GB2312" w:cs="FangSong_GB2312"/>
                <w:color w:val="000000"/>
                <w:kern w:val="0"/>
                <w:sz w:val="24"/>
                <w:lang w:bidi="ar"/>
              </w:rPr>
              <w:t>原制造商授权的本地区经销商（提供授权证明）</w:t>
            </w:r>
          </w:p>
        </w:tc>
      </w:tr>
      <w:tr w14:paraId="21FB5D27">
        <w:tblPrEx>
          <w:tblCellMar>
            <w:top w:w="0" w:type="dxa"/>
            <w:left w:w="108" w:type="dxa"/>
            <w:bottom w:w="0" w:type="dxa"/>
            <w:right w:w="108" w:type="dxa"/>
          </w:tblCellMar>
        </w:tblPrEx>
        <w:trPr>
          <w:trHeight w:val="408" w:hRule="atLeast"/>
          <w:jc w:val="center"/>
        </w:trPr>
        <w:tc>
          <w:tcPr>
            <w:tcW w:w="5000" w:type="pct"/>
            <w:tcBorders>
              <w:top w:val="nil"/>
              <w:left w:val="nil"/>
              <w:bottom w:val="nil"/>
              <w:right w:val="nil"/>
            </w:tcBorders>
            <w:noWrap/>
            <w:vAlign w:val="center"/>
          </w:tcPr>
          <w:p w14:paraId="13588DEB">
            <w:pPr>
              <w:widowControl/>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 xml:space="preserve">    预算金额：</w:t>
            </w:r>
            <w:r>
              <w:rPr>
                <w:rFonts w:hint="eastAsia" w:ascii="FangSong_GB2312" w:hAnsi="FangSong_GB2312" w:eastAsia="FangSong_GB2312" w:cs="FangSong_GB2312"/>
                <w:color w:val="000000"/>
                <w:kern w:val="0"/>
                <w:sz w:val="24"/>
                <w:lang w:val="en-US" w:eastAsia="zh-CN" w:bidi="ar"/>
              </w:rPr>
              <w:t>27万元</w:t>
            </w:r>
          </w:p>
        </w:tc>
      </w:tr>
      <w:tr w14:paraId="02D50DE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6ADB5180">
            <w:pPr>
              <w:widowControl/>
              <w:jc w:val="left"/>
              <w:textAlignment w:val="center"/>
              <w:rPr>
                <w:rFonts w:hint="default" w:ascii="FangSong_GB2312" w:hAnsi="FangSong_GB2312" w:eastAsia="FangSong_GB2312" w:cs="FangSong_GB2312"/>
                <w:color w:val="000000"/>
                <w:kern w:val="0"/>
                <w:sz w:val="24"/>
                <w:lang w:val="en-US" w:bidi="ar"/>
              </w:rPr>
            </w:pPr>
            <w:r>
              <w:rPr>
                <w:rFonts w:hint="eastAsia" w:ascii="FangSong_GB2312" w:hAnsi="FangSong_GB2312" w:eastAsia="FangSong_GB2312" w:cs="FangSong_GB2312"/>
                <w:color w:val="000000"/>
                <w:kern w:val="0"/>
                <w:sz w:val="24"/>
                <w:lang w:bidi="ar"/>
              </w:rPr>
              <w:t xml:space="preserve">    最高限价：</w:t>
            </w:r>
            <w:r>
              <w:rPr>
                <w:rFonts w:hint="eastAsia" w:ascii="FangSong_GB2312" w:hAnsi="FangSong_GB2312" w:eastAsia="FangSong_GB2312" w:cs="FangSong_GB2312"/>
                <w:color w:val="000000"/>
                <w:kern w:val="0"/>
                <w:sz w:val="24"/>
                <w:lang w:val="en-US" w:eastAsia="zh-CN" w:bidi="ar"/>
              </w:rPr>
              <w:t>27万元</w:t>
            </w:r>
          </w:p>
        </w:tc>
      </w:tr>
      <w:tr w14:paraId="07E585D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1A445DB1">
            <w:pPr>
              <w:pStyle w:val="20"/>
              <w:ind w:firstLine="480" w:firstLineChars="200"/>
              <w:rPr>
                <w:rFonts w:hint="eastAsia" w:eastAsia="FangSong_GB2312" w:asciiTheme="minorHAnsi" w:hAnsiTheme="minorHAnsi" w:cstheme="minorHAnsi"/>
                <w:b w:val="0"/>
                <w:bCs w:val="0"/>
                <w:lang w:val="en-US" w:eastAsia="zh-CN" w:bidi="ar"/>
              </w:rPr>
            </w:pPr>
            <w:r>
              <w:rPr>
                <w:rFonts w:eastAsia="FangSong_GB2312" w:asciiTheme="minorHAnsi" w:hAnsiTheme="minorHAnsi" w:cstheme="minorHAnsi"/>
                <w:b w:val="0"/>
                <w:bCs w:val="0"/>
                <w:lang w:bidi="ar"/>
              </w:rPr>
              <w:t>采购需求：</w:t>
            </w:r>
            <w:r>
              <w:rPr>
                <w:rFonts w:hint="eastAsia" w:eastAsia="FangSong_GB2312" w:asciiTheme="minorHAnsi" w:hAnsiTheme="minorHAnsi" w:cstheme="minorHAnsi"/>
                <w:b w:val="0"/>
                <w:bCs w:val="0"/>
                <w:lang w:val="en-US" w:eastAsia="zh-CN" w:bidi="ar"/>
              </w:rPr>
              <w:t>东软集团股份有限公司是贵州航天医院影像系统（PACS）的服务商，为贵州航天医院提供了东软医学影像系统（PACS），具有此核心系统的唯一知识产权。针对此核心系统（PACS）的系统架构、代码逻辑和数据结构东软集团股份有限公司能够准确把握系统的代码规范和业务逻辑，能确保系统稳定运行以及保证数据准确性。依托于核心系统的二次改造开发及相应运维工作，东软集团股份有限公司未授权其他公司，因此第三方公司无法进行开发改造及运维。</w:t>
            </w:r>
          </w:p>
          <w:p w14:paraId="6271F432">
            <w:pPr>
              <w:pStyle w:val="20"/>
              <w:ind w:firstLine="480" w:firstLineChars="200"/>
              <w:rPr>
                <w:rFonts w:hint="default" w:eastAsia="FangSong_GB2312" w:asciiTheme="minorHAnsi" w:hAnsiTheme="minorHAnsi" w:cstheme="minorHAnsi"/>
                <w:b w:val="0"/>
                <w:bCs w:val="0"/>
                <w:lang w:val="en-US" w:eastAsia="zh-CN" w:bidi="ar"/>
              </w:rPr>
            </w:pPr>
            <w:r>
              <w:rPr>
                <w:rFonts w:hint="eastAsia" w:eastAsia="FangSong_GB2312" w:asciiTheme="minorHAnsi" w:hAnsiTheme="minorHAnsi" w:cstheme="minorHAnsi"/>
                <w:b w:val="0"/>
                <w:bCs w:val="0"/>
                <w:lang w:val="en-US" w:eastAsia="zh-CN" w:bidi="ar"/>
              </w:rPr>
              <w:t>维保服务内容、技术参数要求见附件1。服务内容、技术参数偏离表见附件2。</w:t>
            </w:r>
          </w:p>
          <w:p w14:paraId="1320AE93">
            <w:pPr>
              <w:pStyle w:val="20"/>
              <w:ind w:firstLine="480" w:firstLineChars="200"/>
              <w:rPr>
                <w:rFonts w:hint="default"/>
                <w:lang w:val="en-US" w:eastAsia="zh-CN"/>
              </w:rPr>
            </w:pPr>
            <w:r>
              <w:rPr>
                <w:rFonts w:hint="eastAsia" w:ascii="FangSong_GB2312" w:hAnsi="FangSong_GB2312" w:eastAsia="FangSong_GB2312" w:cs="FangSong_GB2312"/>
                <w:b w:val="0"/>
                <w:bCs w:val="0"/>
                <w:color w:val="000000"/>
                <w:kern w:val="0"/>
                <w:sz w:val="24"/>
                <w:lang w:val="en-US" w:eastAsia="zh-CN" w:bidi="ar"/>
              </w:rPr>
              <w:t>二次报价以开标当日电话议价的方式进行。</w:t>
            </w:r>
          </w:p>
        </w:tc>
      </w:tr>
      <w:tr w14:paraId="38B15F8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1C0CE5F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合同履行期限：合同签订之日起</w:t>
            </w:r>
            <w:r>
              <w:rPr>
                <w:rFonts w:hint="eastAsia" w:ascii="FangSong_GB2312" w:hAnsi="FangSong_GB2312" w:eastAsia="FangSong_GB2312" w:cs="FangSong_GB2312"/>
                <w:color w:val="000000"/>
                <w:kern w:val="0"/>
                <w:sz w:val="24"/>
                <w:lang w:val="en-US" w:eastAsia="zh-CN" w:bidi="ar"/>
              </w:rPr>
              <w:t>15个工作日内</w:t>
            </w:r>
            <w:r>
              <w:rPr>
                <w:rFonts w:hint="eastAsia" w:ascii="FangSong_GB2312" w:hAnsi="FangSong_GB2312" w:eastAsia="FangSong_GB2312" w:cs="FangSong_GB2312"/>
                <w:color w:val="000000"/>
                <w:kern w:val="0"/>
                <w:sz w:val="24"/>
                <w:lang w:bidi="ar"/>
              </w:rPr>
              <w:t>履行</w:t>
            </w:r>
          </w:p>
        </w:tc>
      </w:tr>
      <w:tr w14:paraId="3DF5744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F2E49A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交货地点或服务地点：贵州航天医院</w:t>
            </w:r>
          </w:p>
        </w:tc>
      </w:tr>
      <w:tr w14:paraId="7791B703">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4552DE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二、投标人资格要求：</w:t>
            </w:r>
          </w:p>
        </w:tc>
      </w:tr>
      <w:tr w14:paraId="62D49F3B">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C6EFC28">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提供独立承担民事责任的能力，如营业执照、自然人身份证明等</w:t>
            </w:r>
          </w:p>
        </w:tc>
      </w:tr>
      <w:tr w14:paraId="2846FAC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6EE8F3B1">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具有良好的商业信誉和健全的财务制度，具体要求（如</w:t>
            </w:r>
            <w:r>
              <w:rPr>
                <w:rFonts w:hint="eastAsia" w:ascii="FangSong_GB2312" w:hAnsi="FangSong_GB2312" w:eastAsia="FangSong_GB2312" w:cs="FangSong_GB2312"/>
                <w:color w:val="000000"/>
                <w:kern w:val="0"/>
                <w:sz w:val="24"/>
                <w:lang w:val="en-US" w:eastAsia="zh-CN" w:bidi="ar"/>
              </w:rPr>
              <w:t>近两年</w:t>
            </w:r>
            <w:r>
              <w:rPr>
                <w:rFonts w:hint="eastAsia" w:ascii="FangSong_GB2312" w:hAnsi="FangSong_GB2312" w:eastAsia="FangSong_GB2312" w:cs="FangSong_GB2312"/>
                <w:color w:val="000000"/>
                <w:kern w:val="0"/>
                <w:sz w:val="24"/>
                <w:lang w:bidi="ar"/>
              </w:rPr>
              <w:t>财务报表等）</w:t>
            </w:r>
          </w:p>
        </w:tc>
      </w:tr>
      <w:tr w14:paraId="355B248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BE8927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具有履行合同所必须的设备和专业技术能力（资料</w:t>
            </w:r>
            <w:r>
              <w:rPr>
                <w:rFonts w:hint="eastAsia" w:ascii="FangSong_GB2312" w:hAnsi="FangSong_GB2312" w:eastAsia="FangSong_GB2312" w:cs="FangSong_GB2312"/>
                <w:color w:val="000000"/>
                <w:kern w:val="0"/>
                <w:sz w:val="24"/>
                <w:lang w:val="en-US" w:eastAsia="zh-CN" w:bidi="ar"/>
              </w:rPr>
              <w:t>及产品授权</w:t>
            </w:r>
            <w:r>
              <w:rPr>
                <w:rFonts w:hint="eastAsia" w:ascii="FangSong_GB2312" w:hAnsi="FangSong_GB2312" w:eastAsia="FangSong_GB2312" w:cs="FangSong_GB2312"/>
                <w:color w:val="000000"/>
                <w:kern w:val="0"/>
                <w:sz w:val="24"/>
                <w:lang w:bidi="ar"/>
              </w:rPr>
              <w:t>）</w:t>
            </w:r>
          </w:p>
        </w:tc>
      </w:tr>
      <w:tr w14:paraId="34FBCFF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3C0C5B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具有依法缴纳税收和社会保障金的良好记录</w:t>
            </w:r>
          </w:p>
        </w:tc>
      </w:tr>
      <w:tr w14:paraId="477D5069">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6E680F10">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参加政府采购活动前三年内，在经营活动中没有重大违法记录（书面证明）</w:t>
            </w:r>
          </w:p>
        </w:tc>
      </w:tr>
      <w:tr w14:paraId="1E3B8757">
        <w:tblPrEx>
          <w:tblCellMar>
            <w:top w:w="0" w:type="dxa"/>
            <w:left w:w="108" w:type="dxa"/>
            <w:bottom w:w="0" w:type="dxa"/>
            <w:right w:w="108" w:type="dxa"/>
          </w:tblCellMar>
        </w:tblPrEx>
        <w:trPr>
          <w:trHeight w:val="540" w:hRule="atLeast"/>
          <w:jc w:val="center"/>
        </w:trPr>
        <w:tc>
          <w:tcPr>
            <w:tcW w:w="5000" w:type="pct"/>
            <w:tcBorders>
              <w:top w:val="nil"/>
              <w:left w:val="nil"/>
              <w:bottom w:val="nil"/>
              <w:right w:val="nil"/>
            </w:tcBorders>
            <w:vAlign w:val="center"/>
          </w:tcPr>
          <w:p w14:paraId="264BD93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不是失信被执行人、重大税收违法案件当事人、政府采购严重违法失信行为人等的承诺或资料</w:t>
            </w:r>
          </w:p>
        </w:tc>
      </w:tr>
      <w:tr w14:paraId="44931612">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3A0933E8">
            <w:pPr>
              <w:widowControl/>
              <w:jc w:val="left"/>
              <w:textAlignment w:val="center"/>
              <w:rPr>
                <w:rFonts w:hint="eastAsia"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000000"/>
                <w:kern w:val="0"/>
                <w:sz w:val="24"/>
                <w:lang w:bidi="ar"/>
              </w:rPr>
              <w:t xml:space="preserve">    是否接受联合体投标：</w:t>
            </w:r>
            <w:r>
              <w:rPr>
                <w:rFonts w:hint="eastAsia" w:ascii="FangSong_GB2312" w:hAnsi="FangSong_GB2312" w:eastAsia="FangSong_GB2312" w:cs="FangSong_GB2312"/>
                <w:color w:val="000000"/>
                <w:kern w:val="0"/>
                <w:sz w:val="24"/>
                <w:lang w:val="en-US" w:eastAsia="zh-CN" w:bidi="ar"/>
              </w:rPr>
              <w:t>否</w:t>
            </w:r>
          </w:p>
        </w:tc>
      </w:tr>
      <w:tr w14:paraId="735CB40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E014EA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三、获取采购文件</w:t>
            </w:r>
          </w:p>
        </w:tc>
      </w:tr>
      <w:tr w14:paraId="08815170">
        <w:tblPrEx>
          <w:tblCellMar>
            <w:top w:w="0" w:type="dxa"/>
            <w:left w:w="108" w:type="dxa"/>
            <w:bottom w:w="0" w:type="dxa"/>
            <w:right w:w="108" w:type="dxa"/>
          </w:tblCellMar>
        </w:tblPrEx>
        <w:trPr>
          <w:trHeight w:val="490" w:hRule="atLeast"/>
          <w:jc w:val="center"/>
        </w:trPr>
        <w:tc>
          <w:tcPr>
            <w:tcW w:w="5000" w:type="pct"/>
            <w:tcBorders>
              <w:top w:val="nil"/>
              <w:left w:val="nil"/>
              <w:bottom w:val="nil"/>
              <w:right w:val="nil"/>
            </w:tcBorders>
            <w:vAlign w:val="center"/>
          </w:tcPr>
          <w:p w14:paraId="091510A2">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时间：自本公告发布之日起</w:t>
            </w:r>
            <w:r>
              <w:rPr>
                <w:rFonts w:hint="eastAsia" w:ascii="FangSong_GB2312" w:hAnsi="FangSong_GB2312" w:eastAsia="FangSong_GB2312" w:cs="FangSong_GB2312"/>
                <w:color w:val="000000"/>
                <w:kern w:val="0"/>
                <w:sz w:val="24"/>
                <w:lang w:val="en-US" w:eastAsia="zh-CN" w:bidi="ar"/>
              </w:rPr>
              <w:t>5</w:t>
            </w:r>
            <w:r>
              <w:rPr>
                <w:rFonts w:hint="eastAsia" w:ascii="FangSong_GB2312" w:hAnsi="FangSong_GB2312" w:eastAsia="FangSong_GB2312" w:cs="FangSong_GB2312"/>
                <w:color w:val="000000"/>
                <w:kern w:val="0"/>
                <w:sz w:val="24"/>
                <w:lang w:bidi="ar"/>
              </w:rPr>
              <w:t>个工作日内</w:t>
            </w:r>
          </w:p>
        </w:tc>
      </w:tr>
      <w:tr w14:paraId="5226982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55E3479">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获取采购文件的地点或方式：挂网公告</w:t>
            </w:r>
          </w:p>
        </w:tc>
      </w:tr>
      <w:tr w14:paraId="2C950E1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1316E57">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是否交纳投标保证金（交纳方式）：否</w:t>
            </w:r>
          </w:p>
        </w:tc>
      </w:tr>
      <w:tr w14:paraId="2F1A2FB0">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E4A3AC5">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四、响应文件提交</w:t>
            </w:r>
          </w:p>
        </w:tc>
      </w:tr>
      <w:tr w14:paraId="6C2AE826">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128B92BC">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auto"/>
                <w:kern w:val="0"/>
                <w:sz w:val="24"/>
                <w:lang w:bidi="ar"/>
              </w:rPr>
              <w:t xml:space="preserve">    截止时间：自本公告发布之日起</w:t>
            </w:r>
            <w:r>
              <w:rPr>
                <w:rFonts w:hint="eastAsia" w:ascii="FangSong_GB2312" w:hAnsi="FangSong_GB2312" w:eastAsia="FangSong_GB2312" w:cs="FangSong_GB2312"/>
                <w:color w:val="auto"/>
                <w:kern w:val="0"/>
                <w:sz w:val="24"/>
                <w:lang w:val="en-US" w:eastAsia="zh-CN" w:bidi="ar"/>
              </w:rPr>
              <w:t>5</w:t>
            </w:r>
            <w:r>
              <w:rPr>
                <w:rFonts w:hint="eastAsia" w:ascii="FangSong_GB2312" w:hAnsi="FangSong_GB2312" w:eastAsia="FangSong_GB2312" w:cs="FangSong_GB2312"/>
                <w:color w:val="auto"/>
                <w:kern w:val="0"/>
                <w:sz w:val="24"/>
                <w:lang w:bidi="ar"/>
              </w:rPr>
              <w:t>个工作日内</w:t>
            </w:r>
          </w:p>
        </w:tc>
      </w:tr>
      <w:tr w14:paraId="5929AD51">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7C07F185">
            <w:pPr>
              <w:widowControl/>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bidi="ar"/>
              </w:rPr>
              <w:t xml:space="preserve">    </w:t>
            </w:r>
            <w:r>
              <w:rPr>
                <w:rFonts w:hint="eastAsia" w:ascii="FangSong_GB2312" w:hAnsi="FangSong_GB2312" w:eastAsia="FangSong_GB2312" w:cs="FangSong_GB2312"/>
                <w:color w:val="auto"/>
                <w:kern w:val="0"/>
                <w:sz w:val="24"/>
                <w:lang w:val="en-US" w:eastAsia="zh-CN" w:bidi="ar"/>
              </w:rPr>
              <w:t>提交</w:t>
            </w:r>
            <w:r>
              <w:rPr>
                <w:rFonts w:hint="eastAsia" w:ascii="FangSong_GB2312" w:hAnsi="FangSong_GB2312" w:eastAsia="FangSong_GB2312" w:cs="FangSong_GB2312"/>
                <w:color w:val="auto"/>
                <w:kern w:val="0"/>
                <w:sz w:val="24"/>
                <w:lang w:bidi="ar"/>
              </w:rPr>
              <w:t>地点：贵州航天医院</w:t>
            </w:r>
            <w:r>
              <w:rPr>
                <w:rFonts w:hint="eastAsia" w:ascii="FangSong_GB2312" w:hAnsi="FangSong_GB2312" w:eastAsia="FangSong_GB2312" w:cs="FangSong_GB2312"/>
                <w:color w:val="auto"/>
                <w:kern w:val="0"/>
                <w:sz w:val="24"/>
                <w:lang w:eastAsia="zh-CN" w:bidi="ar"/>
              </w:rPr>
              <w:t>外科综合楼一楼</w:t>
            </w:r>
            <w:r>
              <w:rPr>
                <w:rFonts w:hint="eastAsia" w:ascii="FangSong_GB2312" w:hAnsi="FangSong_GB2312" w:eastAsia="FangSong_GB2312" w:cs="FangSong_GB2312"/>
                <w:color w:val="auto"/>
                <w:kern w:val="0"/>
                <w:sz w:val="24"/>
                <w:lang w:val="en-US" w:eastAsia="zh-CN" w:bidi="ar"/>
              </w:rPr>
              <w:t>医学装备部</w:t>
            </w:r>
          </w:p>
        </w:tc>
      </w:tr>
      <w:tr w14:paraId="4CAF26CC">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33D4DC3B">
            <w:pPr>
              <w:widowControl/>
              <w:ind w:firstLine="480" w:firstLineChars="200"/>
              <w:jc w:val="left"/>
              <w:textAlignment w:val="center"/>
              <w:rPr>
                <w:rFonts w:hint="default"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咨询联系：采购办吴老师18785230603</w:t>
            </w:r>
          </w:p>
        </w:tc>
      </w:tr>
      <w:tr w14:paraId="5AA8DD6C">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1CF2E34E">
            <w:pPr>
              <w:widowControl/>
              <w:ind w:firstLine="480" w:firstLineChars="200"/>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val="en-US" w:eastAsia="zh-CN" w:bidi="ar"/>
              </w:rPr>
              <w:t>响应文件投递方式：现场投递或邮寄投递</w:t>
            </w:r>
          </w:p>
        </w:tc>
      </w:tr>
      <w:tr w14:paraId="2D143371">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60987A48">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投标人要求：需由法人或法人委托的代理人持“授权委托书”进行投递，邮寄需邮寄人为法人或代理人，代理人需附“授权委托书”。</w:t>
            </w:r>
          </w:p>
        </w:tc>
      </w:tr>
      <w:tr w14:paraId="6D91EB10">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00E81B66">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投标文件需为</w:t>
            </w:r>
            <w:r>
              <w:rPr>
                <w:rFonts w:hint="eastAsia" w:ascii="FangSong_GB2312" w:hAnsi="FangSong_GB2312" w:eastAsia="FangSong_GB2312" w:cs="FangSong_GB2312"/>
                <w:color w:val="auto"/>
                <w:kern w:val="0"/>
                <w:sz w:val="24"/>
                <w:lang w:eastAsia="zh-CN" w:bidi="ar"/>
              </w:rPr>
              <w:t>纸质版，</w:t>
            </w:r>
            <w:r>
              <w:rPr>
                <w:rFonts w:hint="eastAsia" w:ascii="FangSong_GB2312" w:hAnsi="FangSong_GB2312" w:eastAsia="FangSong_GB2312" w:cs="FangSong_GB2312"/>
                <w:color w:val="auto"/>
                <w:kern w:val="0"/>
                <w:sz w:val="24"/>
                <w:lang w:val="en-US" w:eastAsia="zh-CN" w:bidi="ar"/>
              </w:rPr>
              <w:t>胶装成册，</w:t>
            </w:r>
            <w:r>
              <w:rPr>
                <w:rFonts w:hint="eastAsia" w:ascii="FangSong_GB2312" w:hAnsi="FangSong_GB2312" w:eastAsia="FangSong_GB2312" w:cs="FangSong_GB2312"/>
                <w:b/>
                <w:bCs/>
                <w:color w:val="auto"/>
                <w:kern w:val="0"/>
                <w:sz w:val="24"/>
                <w:lang w:val="en-US" w:eastAsia="zh-CN" w:bidi="ar"/>
              </w:rPr>
              <w:t>一正两副</w:t>
            </w:r>
            <w:r>
              <w:rPr>
                <w:rFonts w:hint="eastAsia" w:ascii="FangSong_GB2312" w:hAnsi="FangSong_GB2312" w:eastAsia="FangSong_GB2312" w:cs="FangSong_GB2312"/>
                <w:color w:val="auto"/>
                <w:kern w:val="0"/>
                <w:sz w:val="24"/>
                <w:lang w:val="en-US" w:eastAsia="zh-CN" w:bidi="ar"/>
              </w:rPr>
              <w:t>，内含目录及页码，密封提交；封面需标注所投项目及序号。</w:t>
            </w:r>
          </w:p>
        </w:tc>
      </w:tr>
      <w:tr w14:paraId="176FD30C">
        <w:tblPrEx>
          <w:tblCellMar>
            <w:top w:w="0" w:type="dxa"/>
            <w:left w:w="108" w:type="dxa"/>
            <w:bottom w:w="0" w:type="dxa"/>
            <w:right w:w="108" w:type="dxa"/>
          </w:tblCellMar>
        </w:tblPrEx>
        <w:trPr>
          <w:trHeight w:val="443" w:hRule="atLeast"/>
          <w:jc w:val="center"/>
        </w:trPr>
        <w:tc>
          <w:tcPr>
            <w:tcW w:w="5000" w:type="pct"/>
            <w:tcBorders>
              <w:top w:val="nil"/>
              <w:left w:val="nil"/>
              <w:bottom w:val="nil"/>
              <w:right w:val="nil"/>
            </w:tcBorders>
            <w:vAlign w:val="center"/>
          </w:tcPr>
          <w:p w14:paraId="5F3F855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五、联系人及联系方式：</w:t>
            </w:r>
            <w:r>
              <w:rPr>
                <w:rFonts w:hint="eastAsia" w:ascii="FangSong_GB2312" w:hAnsi="FangSong_GB2312" w:eastAsia="FangSong_GB2312" w:cs="FangSong_GB2312"/>
                <w:color w:val="000000"/>
                <w:kern w:val="0"/>
                <w:sz w:val="24"/>
                <w:lang w:val="en-US" w:eastAsia="zh-CN" w:bidi="ar"/>
              </w:rPr>
              <w:t>采购办</w:t>
            </w:r>
            <w:r>
              <w:rPr>
                <w:rFonts w:hint="eastAsia" w:ascii="FangSong_GB2312" w:hAnsi="FangSong_GB2312" w:eastAsia="FangSong_GB2312" w:cs="FangSong_GB2312"/>
                <w:color w:val="000000"/>
                <w:kern w:val="0"/>
                <w:sz w:val="24"/>
                <w:lang w:eastAsia="zh-CN" w:bidi="ar"/>
              </w:rPr>
              <w:t>陈</w:t>
            </w:r>
            <w:r>
              <w:rPr>
                <w:rFonts w:hint="eastAsia" w:ascii="FangSong_GB2312" w:hAnsi="FangSong_GB2312" w:eastAsia="FangSong_GB2312" w:cs="FangSong_GB2312"/>
                <w:color w:val="000000"/>
                <w:kern w:val="0"/>
                <w:sz w:val="24"/>
                <w:lang w:val="en-US" w:eastAsia="zh-CN" w:bidi="ar"/>
              </w:rPr>
              <w:t>老师</w:t>
            </w:r>
            <w:r>
              <w:rPr>
                <w:rFonts w:hint="eastAsia" w:ascii="FangSong_GB2312" w:hAnsi="FangSong_GB2312" w:eastAsia="FangSong_GB2312" w:cs="FangSong_GB2312"/>
                <w:color w:val="000000"/>
                <w:kern w:val="0"/>
                <w:sz w:val="24"/>
                <w:lang w:bidi="ar"/>
              </w:rPr>
              <w:t>，联系电话：</w:t>
            </w:r>
            <w:r>
              <w:rPr>
                <w:rFonts w:hint="eastAsia" w:ascii="FangSong_GB2312" w:hAnsi="FangSong_GB2312" w:eastAsia="FangSong_GB2312" w:cs="FangSong_GB2312"/>
                <w:color w:val="000000"/>
                <w:kern w:val="0"/>
                <w:sz w:val="24"/>
                <w:lang w:val="en-US" w:eastAsia="zh-CN" w:bidi="ar"/>
              </w:rPr>
              <w:t>0851-27677989</w:t>
            </w:r>
          </w:p>
        </w:tc>
      </w:tr>
    </w:tbl>
    <w:p w14:paraId="04FC0AF6">
      <w:pPr>
        <w:pStyle w:val="9"/>
        <w:spacing w:before="0" w:beforeAutospacing="0" w:after="0" w:afterAutospacing="0" w:line="440" w:lineRule="exact"/>
        <w:jc w:val="left"/>
        <w:rPr>
          <w:rFonts w:hint="eastAsia" w:cs="宋体"/>
          <w:b/>
          <w:bCs/>
          <w:sz w:val="30"/>
          <w:szCs w:val="30"/>
          <w:lang w:val="en-US" w:eastAsia="zh-CN"/>
        </w:rPr>
      </w:pPr>
    </w:p>
    <w:p w14:paraId="759D41E0">
      <w:pPr>
        <w:pStyle w:val="9"/>
        <w:spacing w:before="0" w:beforeAutospacing="0" w:after="0" w:afterAutospacing="0" w:line="440" w:lineRule="exact"/>
        <w:jc w:val="left"/>
        <w:rPr>
          <w:rFonts w:hint="eastAsia" w:cs="宋体"/>
          <w:b/>
          <w:bCs/>
          <w:sz w:val="30"/>
          <w:szCs w:val="30"/>
          <w:lang w:val="en-US" w:eastAsia="zh-CN"/>
        </w:rPr>
      </w:pPr>
    </w:p>
    <w:p w14:paraId="1B6EA27E">
      <w:pPr>
        <w:pStyle w:val="9"/>
        <w:spacing w:before="0" w:beforeAutospacing="0" w:after="0" w:afterAutospacing="0" w:line="440" w:lineRule="exact"/>
        <w:jc w:val="left"/>
        <w:rPr>
          <w:rFonts w:hint="eastAsia" w:cs="宋体"/>
          <w:b/>
          <w:bCs/>
          <w:sz w:val="30"/>
          <w:szCs w:val="30"/>
          <w:lang w:val="en-US" w:eastAsia="zh-CN"/>
        </w:rPr>
      </w:pPr>
    </w:p>
    <w:p w14:paraId="32756C1B">
      <w:pPr>
        <w:pStyle w:val="9"/>
        <w:spacing w:before="0" w:beforeAutospacing="0" w:after="0" w:afterAutospacing="0" w:line="440" w:lineRule="exact"/>
        <w:jc w:val="left"/>
        <w:rPr>
          <w:rFonts w:hint="eastAsia" w:cs="宋体"/>
          <w:b/>
          <w:bCs/>
          <w:sz w:val="30"/>
          <w:szCs w:val="30"/>
          <w:lang w:val="en-US" w:eastAsia="zh-CN"/>
        </w:rPr>
      </w:pPr>
    </w:p>
    <w:p w14:paraId="635D7292">
      <w:pPr>
        <w:pStyle w:val="9"/>
        <w:spacing w:before="0" w:beforeAutospacing="0" w:after="0" w:afterAutospacing="0" w:line="440" w:lineRule="exact"/>
        <w:jc w:val="left"/>
        <w:rPr>
          <w:rFonts w:hint="eastAsia" w:cs="宋体"/>
          <w:b/>
          <w:bCs/>
          <w:sz w:val="30"/>
          <w:szCs w:val="30"/>
          <w:lang w:val="en-US" w:eastAsia="zh-CN"/>
        </w:rPr>
      </w:pPr>
    </w:p>
    <w:p w14:paraId="04DFF7C6">
      <w:pPr>
        <w:rPr>
          <w:rFonts w:hint="eastAsia" w:cs="宋体"/>
          <w:b/>
          <w:bCs/>
          <w:sz w:val="30"/>
          <w:szCs w:val="30"/>
          <w:lang w:val="en-US" w:eastAsia="zh-CN"/>
        </w:rPr>
      </w:pPr>
    </w:p>
    <w:p w14:paraId="33EDB4B4">
      <w:pPr>
        <w:rPr>
          <w:rFonts w:hint="eastAsia" w:cs="宋体"/>
          <w:b/>
          <w:bCs/>
          <w:sz w:val="30"/>
          <w:szCs w:val="30"/>
          <w:lang w:val="en-US" w:eastAsia="zh-CN"/>
        </w:rPr>
      </w:pPr>
    </w:p>
    <w:p w14:paraId="68B2C07F">
      <w:pPr>
        <w:rPr>
          <w:rFonts w:hint="eastAsia" w:cs="宋体"/>
          <w:b/>
          <w:bCs/>
          <w:sz w:val="30"/>
          <w:szCs w:val="30"/>
          <w:lang w:val="en-US" w:eastAsia="zh-CN"/>
        </w:rPr>
      </w:pPr>
    </w:p>
    <w:p w14:paraId="4BEAAFD3">
      <w:pPr>
        <w:rPr>
          <w:rFonts w:hint="eastAsia" w:cs="宋体"/>
          <w:b/>
          <w:bCs/>
          <w:sz w:val="30"/>
          <w:szCs w:val="30"/>
          <w:lang w:val="en-US" w:eastAsia="zh-CN"/>
        </w:rPr>
      </w:pPr>
    </w:p>
    <w:p w14:paraId="3E395590">
      <w:pPr>
        <w:rPr>
          <w:rFonts w:hint="eastAsia" w:cs="宋体"/>
          <w:b/>
          <w:bCs/>
          <w:sz w:val="30"/>
          <w:szCs w:val="30"/>
          <w:lang w:val="en-US" w:eastAsia="zh-CN"/>
        </w:rPr>
      </w:pPr>
    </w:p>
    <w:p w14:paraId="1D6BCBF9">
      <w:pPr>
        <w:rPr>
          <w:rFonts w:hint="eastAsia" w:cs="宋体"/>
          <w:b/>
          <w:bCs/>
          <w:sz w:val="30"/>
          <w:szCs w:val="30"/>
          <w:lang w:val="en-US" w:eastAsia="zh-CN"/>
        </w:rPr>
      </w:pPr>
    </w:p>
    <w:p w14:paraId="7A275079">
      <w:pPr>
        <w:rPr>
          <w:rFonts w:hint="eastAsia" w:cs="宋体"/>
          <w:b/>
          <w:bCs/>
          <w:sz w:val="30"/>
          <w:szCs w:val="30"/>
          <w:lang w:val="en-US" w:eastAsia="zh-CN"/>
        </w:rPr>
      </w:pPr>
    </w:p>
    <w:p w14:paraId="0E2AB0B8">
      <w:pPr>
        <w:rPr>
          <w:rFonts w:hint="eastAsia" w:cs="宋体"/>
          <w:b/>
          <w:bCs/>
          <w:sz w:val="30"/>
          <w:szCs w:val="30"/>
          <w:lang w:val="en-US" w:eastAsia="zh-CN"/>
        </w:rPr>
      </w:pPr>
    </w:p>
    <w:p w14:paraId="568F85C0">
      <w:pPr>
        <w:rPr>
          <w:rFonts w:hint="eastAsia" w:cs="宋体"/>
          <w:b/>
          <w:bCs/>
          <w:sz w:val="30"/>
          <w:szCs w:val="30"/>
          <w:lang w:val="en-US" w:eastAsia="zh-CN"/>
        </w:rPr>
      </w:pPr>
    </w:p>
    <w:p w14:paraId="3BB116F6">
      <w:pPr>
        <w:rPr>
          <w:rFonts w:hint="eastAsia" w:cs="宋体"/>
          <w:b/>
          <w:bCs/>
          <w:sz w:val="30"/>
          <w:szCs w:val="30"/>
          <w:lang w:val="en-US" w:eastAsia="zh-CN"/>
        </w:rPr>
      </w:pPr>
    </w:p>
    <w:p w14:paraId="2512443C">
      <w:pPr>
        <w:rPr>
          <w:rFonts w:hint="eastAsia" w:cs="宋体"/>
          <w:b/>
          <w:bCs/>
          <w:sz w:val="30"/>
          <w:szCs w:val="30"/>
          <w:lang w:val="en-US" w:eastAsia="zh-CN"/>
        </w:rPr>
      </w:pPr>
    </w:p>
    <w:p w14:paraId="476F9C02">
      <w:pPr>
        <w:rPr>
          <w:rFonts w:hint="eastAsia" w:cs="宋体"/>
          <w:b/>
          <w:bCs/>
          <w:sz w:val="30"/>
          <w:szCs w:val="30"/>
          <w:lang w:val="en-US" w:eastAsia="zh-CN"/>
        </w:rPr>
      </w:pPr>
    </w:p>
    <w:p w14:paraId="19DA84D6">
      <w:pPr>
        <w:rPr>
          <w:rFonts w:hint="eastAsia" w:cs="宋体"/>
          <w:b/>
          <w:bCs/>
          <w:sz w:val="30"/>
          <w:szCs w:val="30"/>
          <w:lang w:val="en-US" w:eastAsia="zh-CN"/>
        </w:rPr>
      </w:pPr>
    </w:p>
    <w:p w14:paraId="068F2D84">
      <w:pPr>
        <w:rPr>
          <w:rFonts w:hint="eastAsia" w:cs="宋体"/>
          <w:b/>
          <w:bCs/>
          <w:sz w:val="30"/>
          <w:szCs w:val="30"/>
          <w:lang w:val="en-US" w:eastAsia="zh-CN"/>
        </w:rPr>
      </w:pPr>
    </w:p>
    <w:p w14:paraId="0A4F17EB">
      <w:pPr>
        <w:rPr>
          <w:rFonts w:hint="eastAsia" w:cs="宋体"/>
          <w:b/>
          <w:bCs/>
          <w:sz w:val="30"/>
          <w:szCs w:val="30"/>
          <w:lang w:val="en-US" w:eastAsia="zh-CN"/>
        </w:rPr>
      </w:pPr>
    </w:p>
    <w:p w14:paraId="01B13BB5">
      <w:pPr>
        <w:keepNext w:val="0"/>
        <w:keepLines w:val="0"/>
        <w:widowControl/>
        <w:suppressLineNumbers w:val="0"/>
        <w:spacing w:line="240" w:lineRule="auto"/>
        <w:jc w:val="left"/>
        <w:rPr>
          <w:rFonts w:hint="default" w:ascii="宋体" w:hAnsi="宋体" w:cs="宋体"/>
          <w:b/>
          <w:bCs/>
          <w:color w:val="000000"/>
          <w:kern w:val="0"/>
          <w:sz w:val="28"/>
          <w:szCs w:val="28"/>
          <w:lang w:val="en-US" w:eastAsia="zh-CN" w:bidi="ar"/>
        </w:rPr>
      </w:pPr>
      <w:r>
        <w:rPr>
          <w:rFonts w:hint="eastAsia" w:ascii="宋体" w:hAnsi="宋体" w:cs="宋体"/>
          <w:b/>
          <w:bCs/>
          <w:color w:val="000000"/>
          <w:kern w:val="0"/>
          <w:sz w:val="28"/>
          <w:szCs w:val="28"/>
          <w:lang w:val="en-US" w:eastAsia="zh-CN" w:bidi="ar"/>
        </w:rPr>
        <w:t>附件1：维保服务内容、技术参数（需提供服务内容、技术参数偏离表）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7406"/>
      </w:tblGrid>
      <w:tr w14:paraId="03E4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51" w:type="pct"/>
            <w:vAlign w:val="center"/>
          </w:tcPr>
          <w:p w14:paraId="55DBC6BD">
            <w:pPr>
              <w:spacing w:line="360" w:lineRule="auto"/>
              <w:jc w:val="center"/>
              <w:rPr>
                <w:b/>
                <w:bCs/>
                <w:sz w:val="30"/>
                <w:szCs w:val="30"/>
              </w:rPr>
            </w:pPr>
            <w:r>
              <w:rPr>
                <w:rFonts w:hint="eastAsia"/>
                <w:bCs/>
                <w:color w:val="000000"/>
                <w:sz w:val="22"/>
                <w:szCs w:val="22"/>
                <w:lang w:val="en-US" w:eastAsia="zh-CN"/>
              </w:rPr>
              <w:t>服务</w:t>
            </w:r>
            <w:r>
              <w:rPr>
                <w:rFonts w:hint="eastAsia"/>
                <w:bCs/>
                <w:color w:val="000000"/>
                <w:sz w:val="22"/>
                <w:szCs w:val="22"/>
              </w:rPr>
              <w:t>名称</w:t>
            </w:r>
          </w:p>
        </w:tc>
        <w:tc>
          <w:tcPr>
            <w:tcW w:w="4348" w:type="pct"/>
            <w:vAlign w:val="center"/>
          </w:tcPr>
          <w:p w14:paraId="08711EFF">
            <w:pPr>
              <w:spacing w:line="360" w:lineRule="auto"/>
              <w:rPr>
                <w:rFonts w:hint="default" w:eastAsiaTheme="minorEastAsia"/>
                <w:bCs/>
                <w:color w:val="000000"/>
                <w:sz w:val="22"/>
                <w:szCs w:val="22"/>
                <w:lang w:val="en-US" w:eastAsia="zh-CN"/>
              </w:rPr>
            </w:pPr>
            <w:r>
              <w:rPr>
                <w:rFonts w:hint="eastAsia" w:ascii="FangSong_GB2312" w:hAnsi="FangSong_GB2312" w:eastAsia="FangSong_GB2312" w:cs="FangSong_GB2312"/>
                <w:color w:val="000000"/>
                <w:kern w:val="0"/>
                <w:sz w:val="24"/>
                <w:lang w:val="en-US" w:eastAsia="zh-CN" w:bidi="ar"/>
              </w:rPr>
              <w:t>PACS系统维保服务</w:t>
            </w:r>
          </w:p>
        </w:tc>
      </w:tr>
      <w:tr w14:paraId="0FE0D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0" w:hRule="atLeast"/>
        </w:trPr>
        <w:tc>
          <w:tcPr>
            <w:tcW w:w="651" w:type="pct"/>
            <w:vAlign w:val="center"/>
          </w:tcPr>
          <w:p w14:paraId="4E173EB8">
            <w:pPr>
              <w:spacing w:line="360" w:lineRule="auto"/>
              <w:jc w:val="center"/>
              <w:rPr>
                <w:rFonts w:hint="eastAsia"/>
                <w:bCs/>
                <w:color w:val="000000"/>
                <w:sz w:val="22"/>
                <w:szCs w:val="22"/>
              </w:rPr>
            </w:pPr>
            <w:r>
              <w:rPr>
                <w:rFonts w:hint="eastAsia"/>
                <w:bCs/>
                <w:color w:val="000000"/>
                <w:sz w:val="22"/>
                <w:szCs w:val="22"/>
              </w:rPr>
              <w:t>PACS</w:t>
            </w:r>
          </w:p>
          <w:p w14:paraId="22A23037">
            <w:pPr>
              <w:spacing w:line="360" w:lineRule="auto"/>
              <w:jc w:val="center"/>
              <w:rPr>
                <w:b/>
                <w:bCs/>
                <w:sz w:val="30"/>
                <w:szCs w:val="30"/>
              </w:rPr>
            </w:pPr>
            <w:r>
              <w:rPr>
                <w:rFonts w:hint="eastAsia"/>
                <w:bCs/>
                <w:color w:val="000000"/>
                <w:sz w:val="22"/>
                <w:szCs w:val="22"/>
              </w:rPr>
              <w:t>软件</w:t>
            </w:r>
            <w:r>
              <w:rPr>
                <w:rFonts w:hint="eastAsia"/>
                <w:bCs/>
                <w:color w:val="000000"/>
                <w:sz w:val="22"/>
                <w:szCs w:val="22"/>
                <w:lang w:val="en-US" w:eastAsia="zh-CN"/>
              </w:rPr>
              <w:t>维保</w:t>
            </w:r>
            <w:r>
              <w:rPr>
                <w:rFonts w:hint="eastAsia"/>
                <w:bCs/>
                <w:color w:val="000000"/>
                <w:sz w:val="22"/>
                <w:szCs w:val="22"/>
              </w:rPr>
              <w:t>服务</w:t>
            </w:r>
          </w:p>
        </w:tc>
        <w:tc>
          <w:tcPr>
            <w:tcW w:w="4348" w:type="pct"/>
          </w:tcPr>
          <w:p w14:paraId="437608CC">
            <w:pPr>
              <w:rPr>
                <w:rFonts w:hint="default"/>
                <w:b/>
                <w:bCs/>
                <w:lang w:val="en-US" w:eastAsia="zh-CN"/>
              </w:rPr>
            </w:pPr>
            <w:r>
              <w:rPr>
                <w:rFonts w:hint="eastAsia"/>
                <w:b/>
                <w:bCs/>
                <w:lang w:val="en-US" w:eastAsia="zh-CN"/>
              </w:rPr>
              <w:t>（一）</w:t>
            </w:r>
            <w:r>
              <w:rPr>
                <w:rFonts w:hint="default"/>
                <w:b/>
                <w:bCs/>
                <w:lang w:val="en-US" w:eastAsia="zh-CN"/>
              </w:rPr>
              <w:t>软件金牌服务包含以下服务方式：</w:t>
            </w:r>
          </w:p>
          <w:p w14:paraId="50DECE30">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服务专线：</w:t>
            </w:r>
            <w:r>
              <w:rPr>
                <w:rFonts w:hint="eastAsia"/>
                <w:lang w:val="en-US" w:eastAsia="zh-CN"/>
              </w:rPr>
              <w:t>17869558108/17869557865</w:t>
            </w:r>
          </w:p>
          <w:p w14:paraId="1E833FBA">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故障优先远程处理，远程不能解决故障时，进行现场故障维护，现场维护次数每年2次</w:t>
            </w:r>
            <w:r>
              <w:rPr>
                <w:rFonts w:hint="eastAsia"/>
                <w:lang w:val="en-US" w:eastAsia="zh-CN"/>
              </w:rPr>
              <w:t>。</w:t>
            </w:r>
          </w:p>
          <w:p w14:paraId="42DE4379">
            <w:pPr>
              <w:rPr>
                <w:rFonts w:hint="default"/>
                <w:lang w:val="en-US" w:eastAsia="zh-CN"/>
              </w:rPr>
            </w:pPr>
            <w:r>
              <w:rPr>
                <w:rFonts w:hint="default"/>
                <w:lang w:val="en-US" w:eastAsia="zh-CN"/>
              </w:rPr>
              <w:t></w:t>
            </w:r>
            <w:r>
              <w:rPr>
                <w:rFonts w:hint="eastAsia"/>
                <w:lang w:val="en-US" w:eastAsia="zh-CN"/>
              </w:rPr>
              <w:t xml:space="preserve">  </w:t>
            </w:r>
            <w:r>
              <w:rPr>
                <w:rFonts w:hint="default"/>
                <w:lang w:val="en-US" w:eastAsia="zh-CN"/>
              </w:rPr>
              <w:t>定期远程巡检维护，每季度一次</w:t>
            </w:r>
            <w:r>
              <w:rPr>
                <w:rFonts w:hint="eastAsia"/>
                <w:lang w:val="en-US" w:eastAsia="zh-CN"/>
              </w:rPr>
              <w:t>。</w:t>
            </w:r>
          </w:p>
          <w:p w14:paraId="059E78F8">
            <w:pPr>
              <w:ind w:firstLine="420" w:firstLineChars="200"/>
              <w:rPr>
                <w:rFonts w:hint="default"/>
                <w:lang w:val="en-US" w:eastAsia="zh-CN"/>
              </w:rPr>
            </w:pPr>
            <w:r>
              <w:rPr>
                <w:rFonts w:hint="default"/>
                <w:lang w:val="en-US" w:eastAsia="zh-CN"/>
              </w:rPr>
              <w:t>金牌服务故障处理紧迫程度定义</w:t>
            </w:r>
            <w:r>
              <w:rPr>
                <w:rFonts w:hint="eastAsia"/>
                <w:lang w:val="en-US" w:eastAsia="zh-CN"/>
              </w:rPr>
              <w:t>：</w:t>
            </w:r>
          </w:p>
          <w:p w14:paraId="0694234B">
            <w:pPr>
              <w:ind w:firstLine="420" w:firstLineChars="200"/>
              <w:rPr>
                <w:rFonts w:hint="default"/>
                <w:lang w:val="en-US" w:eastAsia="zh-CN"/>
              </w:rPr>
            </w:pPr>
            <w:r>
              <w:rPr>
                <w:rFonts w:hint="default"/>
                <w:lang w:val="en-US" w:eastAsia="zh-CN"/>
              </w:rPr>
              <w:t>紧急</w:t>
            </w:r>
            <w:r>
              <w:rPr>
                <w:rFonts w:hint="eastAsia"/>
                <w:lang w:val="en-US" w:eastAsia="zh-CN"/>
              </w:rPr>
              <w:t>：</w:t>
            </w:r>
            <w:r>
              <w:rPr>
                <w:rFonts w:hint="default"/>
                <w:lang w:val="en-US" w:eastAsia="zh-CN"/>
              </w:rPr>
              <w:t>造成软件业务瘫痪事件，故障响应时间</w:t>
            </w:r>
            <w:r>
              <w:rPr>
                <w:rFonts w:hint="eastAsia"/>
                <w:lang w:val="en-US" w:eastAsia="zh-CN"/>
              </w:rPr>
              <w:t>2</w:t>
            </w:r>
            <w:r>
              <w:rPr>
                <w:rFonts w:hint="default"/>
                <w:lang w:val="en-US" w:eastAsia="zh-CN"/>
              </w:rPr>
              <w:t>小时（如需现场服务的路程时间除外）。</w:t>
            </w:r>
          </w:p>
          <w:p w14:paraId="4BB65EF9">
            <w:pPr>
              <w:ind w:firstLine="420" w:firstLineChars="200"/>
              <w:rPr>
                <w:rFonts w:hint="default"/>
                <w:lang w:val="en-US" w:eastAsia="zh-CN"/>
              </w:rPr>
            </w:pPr>
            <w:r>
              <w:rPr>
                <w:rFonts w:hint="default"/>
                <w:lang w:val="en-US" w:eastAsia="zh-CN"/>
              </w:rPr>
              <w:t>一般</w:t>
            </w:r>
            <w:r>
              <w:rPr>
                <w:rFonts w:hint="eastAsia"/>
                <w:lang w:val="en-US" w:eastAsia="zh-CN"/>
              </w:rPr>
              <w:t>：</w:t>
            </w:r>
            <w:r>
              <w:rPr>
                <w:rFonts w:hint="default"/>
                <w:lang w:val="en-US" w:eastAsia="zh-CN"/>
              </w:rPr>
              <w:t>软件业务能正常运作，辅助功能模块</w:t>
            </w:r>
            <w:r>
              <w:rPr>
                <w:rFonts w:hint="eastAsia"/>
                <w:lang w:val="en-US" w:eastAsia="zh-CN"/>
              </w:rPr>
              <w:t>出现</w:t>
            </w:r>
            <w:r>
              <w:rPr>
                <w:rFonts w:hint="default"/>
                <w:lang w:val="en-US" w:eastAsia="zh-CN"/>
              </w:rPr>
              <w:t>故障的事件，故障响应时间24小时（如需现场服务的路程时间除外）</w:t>
            </w:r>
            <w:r>
              <w:rPr>
                <w:rFonts w:hint="eastAsia"/>
                <w:lang w:val="en-US" w:eastAsia="zh-CN"/>
              </w:rPr>
              <w:t>。</w:t>
            </w:r>
            <w:r>
              <w:rPr>
                <w:rFonts w:hint="default"/>
                <w:lang w:val="en-US" w:eastAsia="zh-CN"/>
              </w:rPr>
              <w:t xml:space="preserve"> </w:t>
            </w:r>
          </w:p>
          <w:p w14:paraId="026C5325">
            <w:pPr>
              <w:rPr>
                <w:rFonts w:hint="default"/>
                <w:b/>
                <w:bCs/>
                <w:lang w:val="en-US" w:eastAsia="zh-CN"/>
              </w:rPr>
            </w:pPr>
            <w:r>
              <w:rPr>
                <w:rFonts w:hint="eastAsia"/>
                <w:b/>
                <w:bCs/>
                <w:lang w:val="en-US" w:eastAsia="zh-CN"/>
              </w:rPr>
              <w:t xml:space="preserve">（二） </w:t>
            </w:r>
            <w:r>
              <w:rPr>
                <w:rFonts w:hint="default"/>
                <w:b/>
                <w:bCs/>
                <w:lang w:val="en-US" w:eastAsia="zh-CN"/>
              </w:rPr>
              <w:t>服务内容定义</w:t>
            </w:r>
          </w:p>
          <w:p w14:paraId="33758C80">
            <w:pPr>
              <w:ind w:firstLine="420" w:firstLineChars="200"/>
              <w:rPr>
                <w:rFonts w:hint="default"/>
                <w:lang w:val="en-US" w:eastAsia="zh-CN"/>
              </w:rPr>
            </w:pPr>
            <w:r>
              <w:rPr>
                <w:rFonts w:hint="default"/>
                <w:lang w:val="en-US" w:eastAsia="zh-CN"/>
              </w:rPr>
              <w:t>提供的服务内容包括：</w:t>
            </w:r>
          </w:p>
          <w:p w14:paraId="1D9B784B">
            <w:pPr>
              <w:ind w:firstLine="420" w:firstLineChars="200"/>
              <w:rPr>
                <w:rFonts w:hint="default"/>
                <w:lang w:val="en-US" w:eastAsia="zh-CN"/>
              </w:rPr>
            </w:pPr>
            <w:r>
              <w:rPr>
                <w:rFonts w:hint="default"/>
                <w:lang w:val="en-US" w:eastAsia="zh-CN"/>
              </w:rPr>
              <w:t xml:space="preserve">1．运行保障：对用户的软件正常使用提供保障的过程。具体内容包括： </w:t>
            </w:r>
          </w:p>
          <w:p w14:paraId="10F9D78F">
            <w:pPr>
              <w:rPr>
                <w:rFonts w:hint="default"/>
                <w:lang w:val="en-US" w:eastAsia="zh-CN"/>
              </w:rPr>
            </w:pPr>
            <w:r>
              <w:rPr>
                <w:rFonts w:hint="default"/>
                <w:lang w:val="en-US" w:eastAsia="zh-CN"/>
              </w:rPr>
              <w:t>*维护系统的正常运行，保证基础数据的准确和实时；</w:t>
            </w:r>
          </w:p>
          <w:p w14:paraId="1414FB96">
            <w:pPr>
              <w:rPr>
                <w:rFonts w:hint="default"/>
                <w:lang w:val="en-US" w:eastAsia="zh-CN"/>
              </w:rPr>
            </w:pPr>
            <w:r>
              <w:rPr>
                <w:rFonts w:hint="default"/>
                <w:lang w:val="en-US" w:eastAsia="zh-CN"/>
              </w:rPr>
              <w:t>*保证系统工作</w:t>
            </w:r>
            <w:r>
              <w:rPr>
                <w:rFonts w:hint="eastAsia"/>
                <w:lang w:val="en-US" w:eastAsia="zh-CN"/>
              </w:rPr>
              <w:t>流程</w:t>
            </w:r>
            <w:r>
              <w:rPr>
                <w:rFonts w:hint="default"/>
                <w:lang w:val="en-US" w:eastAsia="zh-CN"/>
              </w:rPr>
              <w:t>的顺畅进行；</w:t>
            </w:r>
          </w:p>
          <w:p w14:paraId="443460D9">
            <w:pPr>
              <w:rPr>
                <w:rFonts w:hint="default"/>
                <w:lang w:val="en-US" w:eastAsia="zh-CN"/>
              </w:rPr>
            </w:pPr>
            <w:r>
              <w:rPr>
                <w:rFonts w:hint="default"/>
                <w:lang w:val="en-US" w:eastAsia="zh-CN"/>
              </w:rPr>
              <w:t>*保证对于系统使用问题及优化需求的及时处理和收集反馈；</w:t>
            </w:r>
          </w:p>
          <w:p w14:paraId="6CE04316">
            <w:pPr>
              <w:rPr>
                <w:rFonts w:hint="default"/>
                <w:lang w:val="en-US" w:eastAsia="zh-CN"/>
              </w:rPr>
            </w:pPr>
            <w:r>
              <w:rPr>
                <w:rFonts w:hint="default"/>
                <w:lang w:val="en-US" w:eastAsia="zh-CN"/>
              </w:rPr>
              <w:t>*定期或不定期</w:t>
            </w:r>
            <w:r>
              <w:rPr>
                <w:rFonts w:hint="eastAsia"/>
                <w:lang w:val="en-US" w:eastAsia="zh-CN"/>
              </w:rPr>
              <w:t>地</w:t>
            </w:r>
            <w:r>
              <w:rPr>
                <w:rFonts w:hint="default"/>
                <w:lang w:val="en-US" w:eastAsia="zh-CN"/>
              </w:rPr>
              <w:t>对系统使用者进行</w:t>
            </w:r>
            <w:r>
              <w:rPr>
                <w:rFonts w:hint="eastAsia"/>
                <w:lang w:val="en-US" w:eastAsia="zh-CN"/>
              </w:rPr>
              <w:t>远程</w:t>
            </w:r>
            <w:r>
              <w:rPr>
                <w:rFonts w:hint="default"/>
                <w:lang w:val="en-US" w:eastAsia="zh-CN"/>
              </w:rPr>
              <w:t>培训指导；</w:t>
            </w:r>
          </w:p>
          <w:p w14:paraId="62EB6355">
            <w:pPr>
              <w:rPr>
                <w:rFonts w:hint="default"/>
                <w:lang w:val="en-US" w:eastAsia="zh-CN"/>
              </w:rPr>
            </w:pPr>
            <w:r>
              <w:rPr>
                <w:rFonts w:hint="default"/>
                <w:lang w:val="en-US" w:eastAsia="zh-CN"/>
              </w:rPr>
              <w:t>*根据业务部门的需求，对错误数据、程序进行修复和优化；</w:t>
            </w:r>
          </w:p>
          <w:p w14:paraId="6978BF38">
            <w:pPr>
              <w:rPr>
                <w:rFonts w:hint="default"/>
                <w:lang w:val="en-US" w:eastAsia="zh-CN"/>
              </w:rPr>
            </w:pPr>
            <w:r>
              <w:rPr>
                <w:rFonts w:hint="eastAsia"/>
                <w:lang w:val="en-US" w:eastAsia="zh-CN"/>
              </w:rPr>
              <w:t>*接收到医院提出的需求、问题后，24小时内给与解决，如不能按期完成的需给出明确的问题解决时间周期；</w:t>
            </w:r>
          </w:p>
          <w:p w14:paraId="3FC2D090">
            <w:pPr>
              <w:ind w:firstLine="420" w:firstLineChars="200"/>
              <w:rPr>
                <w:rFonts w:hint="default"/>
                <w:lang w:val="en-US" w:eastAsia="zh-CN"/>
              </w:rPr>
            </w:pPr>
            <w:r>
              <w:rPr>
                <w:rFonts w:hint="default"/>
                <w:lang w:val="en-US" w:eastAsia="zh-CN"/>
              </w:rPr>
              <w:t>2．电话支持：指服务工程师通过电话向用户提供技术问题解答的过程。</w:t>
            </w:r>
          </w:p>
          <w:p w14:paraId="30F7015C">
            <w:pPr>
              <w:ind w:firstLine="420" w:firstLineChars="200"/>
              <w:rPr>
                <w:rFonts w:hint="default"/>
                <w:lang w:val="en-US" w:eastAsia="zh-CN"/>
              </w:rPr>
            </w:pPr>
            <w:r>
              <w:rPr>
                <w:rFonts w:hint="default"/>
                <w:lang w:val="en-US" w:eastAsia="zh-CN"/>
              </w:rPr>
              <w:t>3．远程</w:t>
            </w:r>
            <w:r>
              <w:rPr>
                <w:rFonts w:hint="eastAsia"/>
                <w:lang w:val="en-US" w:eastAsia="zh-CN"/>
              </w:rPr>
              <w:t>登录</w:t>
            </w:r>
            <w:r>
              <w:rPr>
                <w:rFonts w:hint="default"/>
                <w:lang w:val="en-US" w:eastAsia="zh-CN"/>
              </w:rPr>
              <w:t>：根据用户提出的故障问题，通过技术手段远程访问用户系统解决问题的过程。</w:t>
            </w:r>
          </w:p>
          <w:p w14:paraId="0CA2786E">
            <w:pPr>
              <w:ind w:firstLine="420" w:firstLineChars="200"/>
              <w:rPr>
                <w:rFonts w:hint="default"/>
                <w:lang w:val="en-US" w:eastAsia="zh-CN"/>
              </w:rPr>
            </w:pPr>
            <w:r>
              <w:rPr>
                <w:rFonts w:hint="default"/>
                <w:lang w:val="en-US" w:eastAsia="zh-CN"/>
              </w:rPr>
              <w:t>4．现场维护：根据用户提出的故障问题派遣工程师到用户现场解决问题的过程</w:t>
            </w:r>
            <w:r>
              <w:rPr>
                <w:rFonts w:hint="eastAsia"/>
                <w:lang w:val="en-US" w:eastAsia="zh-CN"/>
              </w:rPr>
              <w:t>，每次时间不超过1周</w:t>
            </w:r>
            <w:r>
              <w:rPr>
                <w:rFonts w:hint="default"/>
                <w:lang w:val="en-US" w:eastAsia="zh-CN"/>
              </w:rPr>
              <w:t>。</w:t>
            </w:r>
          </w:p>
          <w:p w14:paraId="13F5B35E">
            <w:pPr>
              <w:ind w:firstLine="420" w:firstLineChars="200"/>
              <w:rPr>
                <w:rFonts w:hint="default"/>
                <w:lang w:val="en-US" w:eastAsia="zh-CN"/>
              </w:rPr>
            </w:pPr>
            <w:r>
              <w:rPr>
                <w:rFonts w:hint="default"/>
                <w:lang w:val="en-US" w:eastAsia="zh-CN"/>
              </w:rPr>
              <w:t>故障问题包括：</w:t>
            </w:r>
          </w:p>
          <w:p w14:paraId="258BC884">
            <w:pPr>
              <w:ind w:firstLine="420" w:firstLineChars="200"/>
              <w:rPr>
                <w:rFonts w:hint="default"/>
                <w:lang w:val="en-US" w:eastAsia="zh-CN"/>
              </w:rPr>
            </w:pPr>
            <w:r>
              <w:rPr>
                <w:rFonts w:hint="default"/>
                <w:lang w:val="en-US" w:eastAsia="zh-CN"/>
              </w:rPr>
              <w:t>由于软件故障导致的死机，数据错误；</w:t>
            </w:r>
          </w:p>
          <w:p w14:paraId="0078E240">
            <w:pPr>
              <w:ind w:firstLine="420" w:firstLineChars="200"/>
              <w:rPr>
                <w:rFonts w:hint="default"/>
                <w:lang w:val="en-US" w:eastAsia="zh-CN"/>
              </w:rPr>
            </w:pPr>
            <w:r>
              <w:rPr>
                <w:rFonts w:hint="default"/>
                <w:lang w:val="en-US" w:eastAsia="zh-CN"/>
              </w:rPr>
              <w:t>由于环境原因导致的软件显示错误，数据错误，运行效率降低等问题；</w:t>
            </w:r>
          </w:p>
          <w:p w14:paraId="31436C0E">
            <w:pPr>
              <w:ind w:firstLine="420" w:firstLineChars="200"/>
              <w:rPr>
                <w:rFonts w:hint="default"/>
                <w:lang w:val="en-US" w:eastAsia="zh-CN"/>
              </w:rPr>
            </w:pPr>
            <w:r>
              <w:rPr>
                <w:rFonts w:hint="default"/>
                <w:lang w:val="en-US" w:eastAsia="zh-CN"/>
              </w:rPr>
              <w:t>由于环境或是人为原因导致软件崩溃。</w:t>
            </w:r>
          </w:p>
          <w:p w14:paraId="34CA07E7">
            <w:pPr>
              <w:ind w:firstLine="420" w:firstLineChars="200"/>
              <w:rPr>
                <w:rFonts w:hint="default"/>
                <w:lang w:val="en-US" w:eastAsia="zh-CN"/>
              </w:rPr>
            </w:pPr>
            <w:r>
              <w:rPr>
                <w:rFonts w:hint="default"/>
                <w:lang w:val="en-US" w:eastAsia="zh-CN"/>
              </w:rPr>
              <w:t>5．定期远程巡检维护：指乙方定期派服务工程师对用户使用的东软软件系统进行检查的过程。具体内容包括：</w:t>
            </w:r>
          </w:p>
          <w:p w14:paraId="6B95342C">
            <w:pPr>
              <w:rPr>
                <w:rFonts w:hint="default"/>
                <w:lang w:val="en-US" w:eastAsia="zh-CN"/>
              </w:rPr>
            </w:pPr>
            <w:r>
              <w:rPr>
                <w:rFonts w:hint="default"/>
                <w:lang w:val="en-US" w:eastAsia="zh-CN"/>
              </w:rPr>
              <w:t xml:space="preserve">*检查操作系统是否运行正常（是否系统运行很慢，是否经常死机等）； </w:t>
            </w:r>
          </w:p>
          <w:p w14:paraId="5E6A9EEF">
            <w:pPr>
              <w:rPr>
                <w:rFonts w:hint="default"/>
                <w:lang w:val="en-US" w:eastAsia="zh-CN"/>
              </w:rPr>
            </w:pPr>
            <w:r>
              <w:rPr>
                <w:rFonts w:hint="default"/>
                <w:lang w:val="en-US" w:eastAsia="zh-CN"/>
              </w:rPr>
              <w:t>*检查数据库存储空间是否足够；</w:t>
            </w:r>
          </w:p>
          <w:p w14:paraId="0A9341A2">
            <w:pPr>
              <w:rPr>
                <w:rFonts w:hint="default"/>
                <w:lang w:val="en-US" w:eastAsia="zh-CN"/>
              </w:rPr>
            </w:pPr>
            <w:r>
              <w:rPr>
                <w:rFonts w:hint="default"/>
                <w:lang w:val="en-US" w:eastAsia="zh-CN"/>
              </w:rPr>
              <w:t>*检查软件版本是否最新；</w:t>
            </w:r>
          </w:p>
          <w:p w14:paraId="1C55DB86">
            <w:pPr>
              <w:rPr>
                <w:rFonts w:hint="default"/>
                <w:lang w:val="en-US" w:eastAsia="zh-CN"/>
              </w:rPr>
            </w:pPr>
            <w:r>
              <w:rPr>
                <w:rFonts w:hint="default"/>
                <w:lang w:val="en-US" w:eastAsia="zh-CN"/>
              </w:rPr>
              <w:t>*收集用户反馈</w:t>
            </w:r>
            <w:r>
              <w:rPr>
                <w:rFonts w:hint="eastAsia"/>
                <w:lang w:val="en-US" w:eastAsia="zh-CN"/>
              </w:rPr>
              <w:t>。</w:t>
            </w:r>
            <w:bookmarkStart w:id="3" w:name="_GoBack"/>
            <w:bookmarkEnd w:id="3"/>
          </w:p>
          <w:p w14:paraId="767641A7">
            <w:pPr>
              <w:ind w:firstLine="420" w:firstLineChars="200"/>
              <w:rPr>
                <w:rFonts w:hint="default"/>
                <w:lang w:val="en-US" w:eastAsia="zh-CN"/>
              </w:rPr>
            </w:pPr>
            <w:r>
              <w:rPr>
                <w:rFonts w:hint="default"/>
                <w:lang w:val="en-US" w:eastAsia="zh-CN"/>
              </w:rPr>
              <w:t>6．软件版本更新：指由于东软软件出现故障（BUG）或优化而对软件进行优化、升级的过程。</w:t>
            </w:r>
          </w:p>
          <w:p w14:paraId="052219D9">
            <w:pPr>
              <w:ind w:firstLine="420" w:firstLineChars="200"/>
              <w:rPr>
                <w:rFonts w:hint="default"/>
                <w:lang w:val="en-US" w:eastAsia="zh-CN"/>
              </w:rPr>
            </w:pPr>
            <w:r>
              <w:rPr>
                <w:rFonts w:hint="default"/>
                <w:lang w:val="en-US" w:eastAsia="zh-CN"/>
              </w:rPr>
              <w:t>7．用户远程培训：</w:t>
            </w:r>
          </w:p>
          <w:p w14:paraId="6D87F2C5">
            <w:pPr>
              <w:rPr>
                <w:rFonts w:hint="default"/>
                <w:lang w:val="en-US" w:eastAsia="zh-CN"/>
              </w:rPr>
            </w:pPr>
            <w:r>
              <w:rPr>
                <w:rFonts w:hint="default"/>
                <w:lang w:val="en-US" w:eastAsia="zh-CN"/>
              </w:rPr>
              <w:t>*软件操作启动培训：软件安装后的使用培训。</w:t>
            </w:r>
          </w:p>
          <w:p w14:paraId="0D75D484">
            <w:pPr>
              <w:rPr>
                <w:rFonts w:hint="default"/>
                <w:lang w:val="en-US" w:eastAsia="zh-CN"/>
              </w:rPr>
            </w:pPr>
            <w:r>
              <w:rPr>
                <w:rFonts w:hint="default"/>
                <w:lang w:val="en-US" w:eastAsia="zh-CN"/>
              </w:rPr>
              <w:t>*软件更改培训：软件更改后造成软件操作变化的使用培训。</w:t>
            </w:r>
          </w:p>
          <w:p w14:paraId="5C094BF7">
            <w:pPr>
              <w:ind w:firstLine="420" w:firstLineChars="200"/>
              <w:rPr>
                <w:rFonts w:hint="eastAsia"/>
                <w:lang w:val="en-US" w:eastAsia="zh-CN"/>
              </w:rPr>
            </w:pPr>
            <w:r>
              <w:rPr>
                <w:rFonts w:hint="eastAsia"/>
                <w:lang w:val="en-US" w:eastAsia="zh-CN"/>
              </w:rPr>
              <w:t>政策接口开发服务：</w:t>
            </w:r>
          </w:p>
          <w:p w14:paraId="1030A859">
            <w:pPr>
              <w:rPr>
                <w:rFonts w:hint="default"/>
                <w:lang w:val="en-US" w:eastAsia="zh-CN"/>
              </w:rPr>
            </w:pPr>
            <w:r>
              <w:rPr>
                <w:rFonts w:hint="default"/>
                <w:lang w:val="en-US" w:eastAsia="zh-CN"/>
              </w:rPr>
              <w:t>*</w:t>
            </w:r>
            <w:r>
              <w:rPr>
                <w:rFonts w:hint="eastAsia"/>
                <w:lang w:val="en-US" w:eastAsia="zh-CN"/>
              </w:rPr>
              <w:t>运维服务期内含不超过1人月工作量的政策接口服务</w:t>
            </w:r>
            <w:r>
              <w:rPr>
                <w:rFonts w:hint="default"/>
                <w:lang w:val="en-US" w:eastAsia="zh-CN"/>
              </w:rPr>
              <w:t>。</w:t>
            </w:r>
          </w:p>
          <w:p w14:paraId="6A46AAB0">
            <w:pPr>
              <w:rPr>
                <w:rFonts w:hint="default"/>
                <w:lang w:val="en-US" w:eastAsia="zh-CN"/>
              </w:rPr>
            </w:pPr>
            <w:r>
              <w:rPr>
                <w:rFonts w:hint="eastAsia"/>
                <w:lang w:val="en-US" w:eastAsia="zh-CN"/>
              </w:rPr>
              <w:t>8</w:t>
            </w:r>
            <w:r>
              <w:rPr>
                <w:rFonts w:hint="default"/>
                <w:lang w:val="en-US" w:eastAsia="zh-CN"/>
              </w:rPr>
              <w:t>、注意事项：</w:t>
            </w:r>
          </w:p>
          <w:p w14:paraId="1BCF8019">
            <w:pPr>
              <w:ind w:firstLine="420" w:firstLineChars="200"/>
              <w:rPr>
                <w:rFonts w:hint="eastAsia"/>
                <w:lang w:val="en-US" w:eastAsia="zh-CN"/>
              </w:rPr>
            </w:pPr>
            <w:r>
              <w:rPr>
                <w:rFonts w:hint="default"/>
                <w:lang w:val="en-US" w:eastAsia="zh-CN"/>
              </w:rPr>
              <w:t>甲方向乙方申报维护时必须通过热线电话（若有变更乙方会以书面方式通知甲方），未通过服务热线申报的服务请求，乙方可以不履行合同约定的相关服务</w:t>
            </w:r>
            <w:r>
              <w:rPr>
                <w:rFonts w:hint="eastAsia"/>
                <w:lang w:val="en-US" w:eastAsia="zh-CN"/>
              </w:rPr>
              <w:t>。</w:t>
            </w:r>
          </w:p>
          <w:p w14:paraId="28A98E6A">
            <w:pPr>
              <w:ind w:firstLine="420" w:firstLineChars="200"/>
              <w:rPr>
                <w:rFonts w:hint="eastAsia"/>
                <w:lang w:val="en-US" w:eastAsia="zh-CN"/>
              </w:rPr>
            </w:pPr>
            <w:r>
              <w:rPr>
                <w:rFonts w:hint="eastAsia"/>
                <w:lang w:val="en-US" w:eastAsia="zh-CN"/>
              </w:rPr>
              <w:t>新增设备连接单价：</w:t>
            </w:r>
          </w:p>
          <w:p w14:paraId="7C299752">
            <w:pPr>
              <w:rPr>
                <w:rFonts w:hint="eastAsia"/>
                <w:lang w:val="en-US" w:eastAsia="zh-CN"/>
              </w:rPr>
            </w:pPr>
            <w:r>
              <w:rPr>
                <w:rFonts w:hint="default"/>
                <w:lang w:val="en-US" w:eastAsia="zh-CN"/>
              </w:rPr>
              <w:t>*</w:t>
            </w:r>
            <w:r>
              <w:rPr>
                <w:rFonts w:hint="eastAsia"/>
                <w:lang w:val="en-US" w:eastAsia="zh-CN"/>
              </w:rPr>
              <w:t>放射类设备新增连接2万/台；</w:t>
            </w:r>
          </w:p>
          <w:p w14:paraId="03C3BF13">
            <w:pPr>
              <w:rPr>
                <w:rFonts w:hint="eastAsia"/>
                <w:lang w:val="en-US" w:eastAsia="zh-CN"/>
              </w:rPr>
            </w:pPr>
            <w:r>
              <w:rPr>
                <w:rFonts w:hint="default"/>
                <w:lang w:val="en-US" w:eastAsia="zh-CN"/>
              </w:rPr>
              <w:t>*</w:t>
            </w:r>
            <w:r>
              <w:rPr>
                <w:rFonts w:hint="eastAsia"/>
                <w:lang w:val="en-US" w:eastAsia="zh-CN"/>
              </w:rPr>
              <w:t>超声类设备新增连接1.5万/台；</w:t>
            </w:r>
          </w:p>
          <w:p w14:paraId="1791EDC7">
            <w:pPr>
              <w:rPr>
                <w:b/>
                <w:bCs/>
                <w:sz w:val="30"/>
                <w:szCs w:val="30"/>
              </w:rPr>
            </w:pPr>
            <w:r>
              <w:rPr>
                <w:rFonts w:hint="default"/>
                <w:lang w:val="en-US" w:eastAsia="zh-CN"/>
              </w:rPr>
              <w:t>*</w:t>
            </w:r>
            <w:r>
              <w:rPr>
                <w:rFonts w:hint="eastAsia"/>
                <w:lang w:val="en-US" w:eastAsia="zh-CN"/>
              </w:rPr>
              <w:t>病理类设备新增连接1.5万/台。</w:t>
            </w:r>
          </w:p>
        </w:tc>
      </w:tr>
      <w:tr w14:paraId="0A5B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0" w:hRule="atLeast"/>
        </w:trPr>
        <w:tc>
          <w:tcPr>
            <w:tcW w:w="651" w:type="pct"/>
            <w:vAlign w:val="center"/>
          </w:tcPr>
          <w:p w14:paraId="0FEEA566">
            <w:pPr>
              <w:spacing w:line="360" w:lineRule="auto"/>
              <w:jc w:val="center"/>
              <w:rPr>
                <w:rFonts w:hint="eastAsia" w:eastAsia="宋体"/>
                <w:bCs/>
                <w:color w:val="000000"/>
                <w:sz w:val="22"/>
                <w:szCs w:val="22"/>
                <w:lang w:eastAsia="zh-CN"/>
              </w:rPr>
            </w:pPr>
            <w:r>
              <w:rPr>
                <w:rFonts w:hint="eastAsia"/>
              </w:rPr>
              <w:t>PACS系统升级功能参数</w:t>
            </w:r>
          </w:p>
        </w:tc>
        <w:tc>
          <w:tcPr>
            <w:tcW w:w="4348" w:type="pct"/>
          </w:tcPr>
          <w:p w14:paraId="5D695770">
            <w:pPr>
              <w:rPr>
                <w:rFonts w:hint="eastAsia"/>
                <w:b/>
                <w:bCs/>
                <w:lang w:val="en-US" w:eastAsia="zh-CN"/>
              </w:rPr>
            </w:pPr>
            <w:r>
              <w:rPr>
                <w:rFonts w:hint="eastAsia"/>
                <w:b/>
                <w:bCs/>
                <w:lang w:val="en-US" w:eastAsia="zh-CN"/>
              </w:rPr>
              <w:t>（三）排班绩效系统</w:t>
            </w:r>
          </w:p>
          <w:p w14:paraId="2D4C5EB9">
            <w:pPr>
              <w:ind w:firstLine="420" w:firstLineChars="200"/>
              <w:rPr>
                <w:rFonts w:hint="eastAsia"/>
              </w:rPr>
            </w:pPr>
            <w:r>
              <w:rPr>
                <w:rFonts w:hint="eastAsia"/>
              </w:rPr>
              <w:t>提供科室人员录入，岗位维护及报告分发等，根据诊断任务实现科室绩效管理，具体功能如下：</w:t>
            </w:r>
          </w:p>
          <w:p w14:paraId="65DA9C6C">
            <w:pPr>
              <w:rPr>
                <w:rFonts w:hint="eastAsia"/>
              </w:rPr>
            </w:pPr>
            <w:r>
              <w:rPr>
                <w:rFonts w:hint="default"/>
                <w:lang w:val="en-US" w:eastAsia="zh-CN"/>
              </w:rPr>
              <w:t>*</w:t>
            </w:r>
            <w:r>
              <w:rPr>
                <w:rFonts w:hint="eastAsia"/>
              </w:rPr>
              <w:t>支持医生工作岗位基本信息维护管理。</w:t>
            </w:r>
          </w:p>
          <w:p w14:paraId="0EAFC470">
            <w:pPr>
              <w:rPr>
                <w:rFonts w:hint="eastAsia"/>
              </w:rPr>
            </w:pPr>
            <w:r>
              <w:rPr>
                <w:rFonts w:hint="default"/>
                <w:lang w:val="en-US" w:eastAsia="zh-CN"/>
              </w:rPr>
              <w:t>*</w:t>
            </w:r>
            <w:r>
              <w:rPr>
                <w:rFonts w:hint="eastAsia"/>
              </w:rPr>
              <w:t>支持排班医生信息管理。</w:t>
            </w:r>
          </w:p>
          <w:p w14:paraId="080FB111">
            <w:pPr>
              <w:rPr>
                <w:rFonts w:hint="eastAsia"/>
              </w:rPr>
            </w:pPr>
            <w:r>
              <w:rPr>
                <w:rFonts w:hint="default"/>
                <w:lang w:val="en-US" w:eastAsia="zh-CN"/>
              </w:rPr>
              <w:t>*</w:t>
            </w:r>
            <w:r>
              <w:rPr>
                <w:rFonts w:hint="eastAsia"/>
              </w:rPr>
              <w:t>支持技师工作岗位基本信息维护管理。</w:t>
            </w:r>
          </w:p>
          <w:p w14:paraId="5D088B60">
            <w:pPr>
              <w:rPr>
                <w:rFonts w:hint="eastAsia"/>
              </w:rPr>
            </w:pPr>
            <w:r>
              <w:rPr>
                <w:rFonts w:hint="default"/>
                <w:lang w:val="en-US" w:eastAsia="zh-CN"/>
              </w:rPr>
              <w:t>*</w:t>
            </w:r>
            <w:r>
              <w:rPr>
                <w:rFonts w:hint="eastAsia"/>
              </w:rPr>
              <w:t>支持排班技师医生信息管理。</w:t>
            </w:r>
          </w:p>
          <w:p w14:paraId="2BD7D68A">
            <w:pPr>
              <w:rPr>
                <w:rFonts w:hint="eastAsia"/>
              </w:rPr>
            </w:pPr>
            <w:r>
              <w:rPr>
                <w:rFonts w:hint="default"/>
                <w:lang w:val="en-US" w:eastAsia="zh-CN"/>
              </w:rPr>
              <w:t>*</w:t>
            </w:r>
            <w:r>
              <w:rPr>
                <w:rFonts w:hint="eastAsia"/>
              </w:rPr>
              <w:t>支持报告难度系数设置。</w:t>
            </w:r>
          </w:p>
          <w:p w14:paraId="124E3EDB">
            <w:pPr>
              <w:rPr>
                <w:rFonts w:hint="eastAsia"/>
              </w:rPr>
            </w:pPr>
            <w:r>
              <w:rPr>
                <w:rFonts w:hint="default"/>
                <w:lang w:val="en-US" w:eastAsia="zh-CN"/>
              </w:rPr>
              <w:t>*</w:t>
            </w:r>
            <w:r>
              <w:rPr>
                <w:rFonts w:hint="eastAsia"/>
              </w:rPr>
              <w:t>支持业务参数为管理员配置，部分内容需要根据现场定制和修改。</w:t>
            </w:r>
          </w:p>
          <w:p w14:paraId="5ECE1F6A">
            <w:pPr>
              <w:rPr>
                <w:rFonts w:hint="eastAsia"/>
              </w:rPr>
            </w:pPr>
            <w:r>
              <w:rPr>
                <w:rFonts w:hint="default"/>
                <w:lang w:val="en-US" w:eastAsia="zh-CN"/>
              </w:rPr>
              <w:t>*</w:t>
            </w:r>
            <w:r>
              <w:rPr>
                <w:rFonts w:hint="eastAsia"/>
              </w:rPr>
              <w:t>支持根据岗位和日期，设置医生排班。</w:t>
            </w:r>
          </w:p>
          <w:p w14:paraId="249806C4">
            <w:pPr>
              <w:rPr>
                <w:rFonts w:hint="eastAsia"/>
              </w:rPr>
            </w:pPr>
            <w:r>
              <w:rPr>
                <w:rFonts w:hint="default"/>
                <w:lang w:val="en-US" w:eastAsia="zh-CN"/>
              </w:rPr>
              <w:t>*</w:t>
            </w:r>
            <w:r>
              <w:rPr>
                <w:rFonts w:hint="eastAsia"/>
              </w:rPr>
              <w:t>支持查看医生的排班信息。</w:t>
            </w:r>
          </w:p>
          <w:p w14:paraId="77485E33">
            <w:pPr>
              <w:rPr>
                <w:rFonts w:hint="eastAsia"/>
              </w:rPr>
            </w:pPr>
            <w:r>
              <w:rPr>
                <w:rFonts w:hint="default"/>
                <w:lang w:val="en-US" w:eastAsia="zh-CN"/>
              </w:rPr>
              <w:t>*</w:t>
            </w:r>
            <w:r>
              <w:rPr>
                <w:rFonts w:hint="eastAsia"/>
              </w:rPr>
              <w:t>支持根据岗位和日期，设置技师排班。</w:t>
            </w:r>
          </w:p>
          <w:p w14:paraId="2E52B1EE">
            <w:pPr>
              <w:rPr>
                <w:rFonts w:hint="eastAsia"/>
              </w:rPr>
            </w:pPr>
            <w:r>
              <w:rPr>
                <w:rFonts w:hint="default"/>
                <w:lang w:val="en-US" w:eastAsia="zh-CN"/>
              </w:rPr>
              <w:t>*</w:t>
            </w:r>
            <w:r>
              <w:rPr>
                <w:rFonts w:hint="eastAsia"/>
              </w:rPr>
              <w:t>支持查看技师的排班信息技师排班计划调阅。</w:t>
            </w:r>
          </w:p>
          <w:p w14:paraId="3580C46A">
            <w:pPr>
              <w:rPr>
                <w:rFonts w:hint="eastAsia"/>
              </w:rPr>
            </w:pPr>
            <w:r>
              <w:rPr>
                <w:rFonts w:hint="default"/>
                <w:lang w:val="en-US" w:eastAsia="zh-CN"/>
              </w:rPr>
              <w:t>*</w:t>
            </w:r>
            <w:r>
              <w:rPr>
                <w:rFonts w:hint="eastAsia"/>
              </w:rPr>
              <w:t>支持任务委托，将本人的任务委托给别人或对别人委托的任务进行打回和接受操作。</w:t>
            </w:r>
          </w:p>
          <w:p w14:paraId="27FBDEE4">
            <w:pPr>
              <w:rPr>
                <w:rFonts w:hint="eastAsia"/>
              </w:rPr>
            </w:pPr>
            <w:r>
              <w:rPr>
                <w:rFonts w:hint="default"/>
                <w:lang w:val="en-US" w:eastAsia="zh-CN"/>
              </w:rPr>
              <w:t>*</w:t>
            </w:r>
            <w:r>
              <w:rPr>
                <w:rFonts w:hint="eastAsia"/>
              </w:rPr>
              <w:t>支持任务人工分配，对已分配的任务进行再分配。</w:t>
            </w:r>
          </w:p>
          <w:p w14:paraId="04A29624">
            <w:pPr>
              <w:rPr>
                <w:rFonts w:hint="eastAsia"/>
              </w:rPr>
            </w:pPr>
            <w:r>
              <w:rPr>
                <w:rFonts w:hint="default"/>
                <w:lang w:val="en-US" w:eastAsia="zh-CN"/>
              </w:rPr>
              <w:t>*</w:t>
            </w:r>
            <w:r>
              <w:rPr>
                <w:rFonts w:hint="eastAsia"/>
              </w:rPr>
              <w:t>支持未分配任务，对于没有分配成功的任务，通过检查号或检查流水号来查询。</w:t>
            </w:r>
          </w:p>
          <w:p w14:paraId="6C66973A">
            <w:pPr>
              <w:rPr>
                <w:rFonts w:hint="eastAsia"/>
              </w:rPr>
            </w:pPr>
            <w:r>
              <w:rPr>
                <w:rFonts w:hint="default"/>
                <w:lang w:val="en-US" w:eastAsia="zh-CN"/>
              </w:rPr>
              <w:t>*</w:t>
            </w:r>
            <w:r>
              <w:rPr>
                <w:rFonts w:hint="eastAsia"/>
              </w:rPr>
              <w:t>支持检查状态查询，通过输入患者检查号查询已经分配的任务的报告状态。</w:t>
            </w:r>
          </w:p>
          <w:p w14:paraId="36C47618">
            <w:pPr>
              <w:rPr>
                <w:rFonts w:hint="eastAsia"/>
              </w:rPr>
            </w:pPr>
            <w:r>
              <w:rPr>
                <w:rFonts w:hint="default"/>
                <w:lang w:val="en-US" w:eastAsia="zh-CN"/>
              </w:rPr>
              <w:t>*</w:t>
            </w:r>
            <w:r>
              <w:rPr>
                <w:rFonts w:hint="eastAsia"/>
              </w:rPr>
              <w:t>支持任务状态查询，以统计表和统计图表形式展示。</w:t>
            </w:r>
          </w:p>
          <w:p w14:paraId="29F35175">
            <w:pPr>
              <w:rPr>
                <w:rFonts w:hint="eastAsia"/>
              </w:rPr>
            </w:pPr>
            <w:r>
              <w:rPr>
                <w:rFonts w:hint="default"/>
                <w:lang w:val="en-US" w:eastAsia="zh-CN"/>
              </w:rPr>
              <w:t>*</w:t>
            </w:r>
            <w:r>
              <w:rPr>
                <w:rFonts w:hint="eastAsia"/>
              </w:rPr>
              <w:t>支持报告状态查询，报告状态查询页面分为统计表，和统计图。</w:t>
            </w:r>
          </w:p>
          <w:p w14:paraId="7688CE11">
            <w:pPr>
              <w:rPr>
                <w:rFonts w:hint="eastAsia"/>
              </w:rPr>
            </w:pPr>
            <w:r>
              <w:rPr>
                <w:rFonts w:hint="default"/>
                <w:lang w:val="en-US" w:eastAsia="zh-CN"/>
              </w:rPr>
              <w:t>*</w:t>
            </w:r>
            <w:r>
              <w:rPr>
                <w:rFonts w:hint="eastAsia"/>
              </w:rPr>
              <w:t>支持医生工作量记录，通过岗位、医生、执行时间的查询条件查询每个医生对应的工作量、完成量、统计完成比例等。</w:t>
            </w:r>
          </w:p>
          <w:p w14:paraId="795656D6">
            <w:pPr>
              <w:rPr>
                <w:rFonts w:hint="eastAsia"/>
              </w:rPr>
            </w:pPr>
            <w:r>
              <w:rPr>
                <w:rFonts w:hint="default"/>
                <w:lang w:val="en-US" w:eastAsia="zh-CN"/>
              </w:rPr>
              <w:t>*</w:t>
            </w:r>
            <w:r>
              <w:rPr>
                <w:rFonts w:hint="eastAsia"/>
              </w:rPr>
              <w:t>支持岗位日均工作量统计，通过岗位、开始时间和结束时间等查询条件，统计某段时间内，某岗位的日平均工作量、总工作量、平均工作系数、总工作系数等信息。</w:t>
            </w:r>
          </w:p>
          <w:p w14:paraId="004E48E8">
            <w:pPr>
              <w:rPr>
                <w:rFonts w:hint="eastAsia"/>
              </w:rPr>
            </w:pPr>
            <w:r>
              <w:rPr>
                <w:rFonts w:hint="default"/>
                <w:lang w:val="en-US" w:eastAsia="zh-CN"/>
              </w:rPr>
              <w:t>*</w:t>
            </w:r>
            <w:r>
              <w:rPr>
                <w:rFonts w:hint="eastAsia"/>
              </w:rPr>
              <w:t>支持医生日均工作量统计，通过医生、开始时间和结束时间等查询条件，统计某段时间内，医生的日平均工作量、总工作量、平均工作系数、总工作系数等信息。</w:t>
            </w:r>
          </w:p>
          <w:p w14:paraId="564F94D1">
            <w:pPr>
              <w:rPr>
                <w:rFonts w:hint="eastAsia"/>
              </w:rPr>
            </w:pPr>
            <w:r>
              <w:rPr>
                <w:rFonts w:hint="default"/>
                <w:lang w:val="en-US" w:eastAsia="zh-CN"/>
              </w:rPr>
              <w:t>*</w:t>
            </w:r>
            <w:r>
              <w:rPr>
                <w:rFonts w:hint="eastAsia"/>
              </w:rPr>
              <w:t>支持菜单设置，通过开始时间和结束时间等查询条件，统计某段时间内，分组的分配报告数量，分配报告难度总系数，完成报告数量，完成报告难度总系数等信息。</w:t>
            </w:r>
          </w:p>
          <w:p w14:paraId="460CFA08">
            <w:pPr>
              <w:rPr>
                <w:rFonts w:hint="eastAsia"/>
              </w:rPr>
            </w:pPr>
            <w:r>
              <w:rPr>
                <w:rFonts w:hint="default"/>
                <w:lang w:val="en-US" w:eastAsia="zh-CN"/>
              </w:rPr>
              <w:t>*</w:t>
            </w:r>
            <w:r>
              <w:rPr>
                <w:rFonts w:hint="eastAsia"/>
              </w:rPr>
              <w:t>支持系统参数设置，查询该系统用户信息。</w:t>
            </w:r>
          </w:p>
          <w:p w14:paraId="20FDC170">
            <w:pPr>
              <w:ind w:firstLine="420" w:firstLineChars="200"/>
              <w:rPr>
                <w:rFonts w:hint="eastAsia"/>
              </w:rPr>
            </w:pPr>
            <w:r>
              <w:rPr>
                <w:rFonts w:hint="eastAsia"/>
              </w:rPr>
              <w:t>工作量分配以排班时段为周期进行任务分配（新增）</w:t>
            </w:r>
          </w:p>
          <w:p w14:paraId="514302DE">
            <w:pPr>
              <w:ind w:firstLine="420" w:firstLineChars="200"/>
              <w:rPr>
                <w:rFonts w:hint="eastAsia"/>
              </w:rPr>
            </w:pPr>
            <w:r>
              <w:rPr>
                <w:rFonts w:hint="eastAsia"/>
              </w:rPr>
              <w:t>能按报告医生直接分配任务(新增)</w:t>
            </w:r>
          </w:p>
          <w:p w14:paraId="52435E1E">
            <w:pPr>
              <w:rPr>
                <w:rFonts w:hint="eastAsia"/>
                <w:b/>
                <w:bCs/>
                <w:lang w:val="en-US" w:eastAsia="zh-CN"/>
              </w:rPr>
            </w:pPr>
            <w:r>
              <w:rPr>
                <w:rFonts w:hint="eastAsia"/>
                <w:b/>
                <w:bCs/>
                <w:lang w:val="en-US" w:eastAsia="zh-CN"/>
              </w:rPr>
              <w:t>（四）科室需求</w:t>
            </w:r>
          </w:p>
          <w:p w14:paraId="083E7E1A">
            <w:pPr>
              <w:rPr>
                <w:rFonts w:hint="eastAsia"/>
              </w:rPr>
            </w:pPr>
            <w:bookmarkStart w:id="0" w:name="OLE_LINK1"/>
            <w:r>
              <w:rPr>
                <w:rFonts w:hint="eastAsia"/>
              </w:rPr>
              <w:t>【放射科】</w:t>
            </w:r>
          </w:p>
          <w:bookmarkEnd w:id="0"/>
          <w:p w14:paraId="723F7B46">
            <w:pPr>
              <w:ind w:firstLine="420" w:firstLineChars="200"/>
              <w:rPr>
                <w:rFonts w:hint="eastAsia"/>
              </w:rPr>
            </w:pPr>
            <w:r>
              <w:rPr>
                <w:rFonts w:hint="eastAsia"/>
              </w:rPr>
              <w:t>增加报告医师在书写报告过程中，如医师新派发“急诊”报告，出现弹窗提醒功能。</w:t>
            </w:r>
          </w:p>
          <w:p w14:paraId="645FB863">
            <w:pPr>
              <w:ind w:firstLine="420" w:firstLineChars="200"/>
              <w:rPr>
                <w:rFonts w:hint="eastAsia"/>
              </w:rPr>
            </w:pPr>
            <w:r>
              <w:rPr>
                <w:rFonts w:hint="eastAsia"/>
              </w:rPr>
              <w:t>报告内容超出纸张自动两页显示。现在超出页面报告内容不显示超出部分。</w:t>
            </w:r>
          </w:p>
          <w:p w14:paraId="08AC0F24">
            <w:pPr>
              <w:ind w:firstLine="420" w:firstLineChars="200"/>
              <w:rPr>
                <w:rFonts w:hint="eastAsia"/>
              </w:rPr>
            </w:pPr>
            <w:bookmarkStart w:id="1" w:name="OLE_LINK2"/>
            <w:r>
              <w:rPr>
                <w:rFonts w:hint="eastAsia"/>
              </w:rPr>
              <w:t>系统查询列表添加筛选是否病理选项。</w:t>
            </w:r>
          </w:p>
          <w:p w14:paraId="17D3BC17">
            <w:pPr>
              <w:ind w:firstLine="420" w:firstLineChars="200"/>
              <w:rPr>
                <w:rFonts w:hint="eastAsia"/>
              </w:rPr>
            </w:pPr>
            <w:r>
              <w:rPr>
                <w:rFonts w:hint="eastAsia"/>
              </w:rPr>
              <w:t>系统查询列表添加筛选是否病理选项。</w:t>
            </w:r>
          </w:p>
          <w:bookmarkEnd w:id="1"/>
          <w:p w14:paraId="370C6261">
            <w:pPr>
              <w:rPr>
                <w:rFonts w:hint="eastAsia"/>
              </w:rPr>
            </w:pPr>
            <w:r>
              <w:rPr>
                <w:rFonts w:hint="eastAsia"/>
              </w:rPr>
              <w:t>【超声科】</w:t>
            </w:r>
          </w:p>
          <w:p w14:paraId="7127028B">
            <w:pPr>
              <w:ind w:firstLine="420" w:firstLineChars="200"/>
              <w:rPr>
                <w:rFonts w:hint="eastAsia"/>
              </w:rPr>
            </w:pPr>
            <w:r>
              <w:rPr>
                <w:rFonts w:hint="eastAsia"/>
              </w:rPr>
              <w:t>心脏必填项设置，未填写时进行提示。</w:t>
            </w:r>
          </w:p>
          <w:p w14:paraId="2C0917C0">
            <w:pPr>
              <w:ind w:firstLine="420" w:firstLineChars="200"/>
              <w:rPr>
                <w:rFonts w:hint="default"/>
                <w:b/>
                <w:bCs/>
                <w:sz w:val="30"/>
                <w:szCs w:val="30"/>
                <w:vertAlign w:val="baseline"/>
                <w:lang w:val="en-US" w:eastAsia="zh-CN"/>
              </w:rPr>
            </w:pPr>
            <w:bookmarkStart w:id="2" w:name="OLE_LINK6"/>
            <w:r>
              <w:rPr>
                <w:rFonts w:hint="eastAsia"/>
              </w:rPr>
              <w:t>系统查询列表添加筛选是否病理选项。</w:t>
            </w:r>
            <w:bookmarkEnd w:id="2"/>
          </w:p>
        </w:tc>
      </w:tr>
    </w:tbl>
    <w:p w14:paraId="7159D10A">
      <w:pPr>
        <w:pStyle w:val="27"/>
        <w:outlineLvl w:val="3"/>
      </w:pPr>
    </w:p>
    <w:p w14:paraId="642849A6">
      <w:pPr>
        <w:rPr>
          <w:rFonts w:hint="eastAsia" w:cs="宋体"/>
          <w:b/>
          <w:bCs/>
          <w:sz w:val="30"/>
          <w:szCs w:val="30"/>
          <w:lang w:val="en-US" w:eastAsia="zh-CN"/>
        </w:rPr>
        <w:sectPr>
          <w:pgSz w:w="11906" w:h="16838"/>
          <w:pgMar w:top="1157" w:right="1689" w:bottom="1157" w:left="1689" w:header="851" w:footer="992" w:gutter="0"/>
          <w:cols w:space="425" w:num="1"/>
          <w:docGrid w:type="lines" w:linePitch="312" w:charSpace="0"/>
        </w:sectPr>
      </w:pPr>
    </w:p>
    <w:p w14:paraId="19901C50">
      <w:pPr>
        <w:keepNext w:val="0"/>
        <w:keepLines w:val="0"/>
        <w:widowControl/>
        <w:suppressLineNumbers w:val="0"/>
        <w:spacing w:line="240" w:lineRule="auto"/>
        <w:jc w:val="left"/>
        <w:rPr>
          <w:rFonts w:hint="default" w:cs="宋体"/>
          <w:b/>
          <w:bCs/>
          <w:sz w:val="30"/>
          <w:szCs w:val="30"/>
          <w:lang w:val="en-US" w:eastAsia="zh-CN"/>
        </w:rPr>
      </w:pPr>
      <w:r>
        <w:rPr>
          <w:rFonts w:hint="eastAsia" w:cs="宋体"/>
          <w:b/>
          <w:bCs/>
          <w:sz w:val="30"/>
          <w:szCs w:val="30"/>
          <w:lang w:val="en-US" w:eastAsia="zh-CN"/>
        </w:rPr>
        <w:t>附件2：服务内容、技术参数偏离表（模板）</w:t>
      </w:r>
    </w:p>
    <w:p w14:paraId="44770305">
      <w:pPr>
        <w:keepNext w:val="0"/>
        <w:keepLines w:val="0"/>
        <w:widowControl/>
        <w:suppressLineNumbers w:val="0"/>
        <w:spacing w:line="240" w:lineRule="auto"/>
        <w:jc w:val="center"/>
        <w:rPr>
          <w:rFonts w:hint="default" w:cs="宋体"/>
          <w:b/>
          <w:bCs/>
          <w:sz w:val="30"/>
          <w:szCs w:val="30"/>
          <w:lang w:val="en-US" w:eastAsia="zh-CN"/>
        </w:rPr>
      </w:pPr>
      <w:r>
        <w:rPr>
          <w:rFonts w:hint="eastAsia" w:cs="宋体"/>
          <w:b/>
          <w:bCs/>
          <w:sz w:val="30"/>
          <w:szCs w:val="30"/>
          <w:lang w:val="en-US" w:eastAsia="zh-CN"/>
        </w:rPr>
        <w:t>服务内容</w:t>
      </w:r>
      <w:r>
        <w:rPr>
          <w:rFonts w:hint="default" w:cs="宋体"/>
          <w:b/>
          <w:bCs/>
          <w:sz w:val="30"/>
          <w:szCs w:val="30"/>
          <w:lang w:val="en-US" w:eastAsia="zh-CN"/>
        </w:rPr>
        <w:t>响应及偏离表</w:t>
      </w:r>
    </w:p>
    <w:p w14:paraId="5074C8C5">
      <w:pPr>
        <w:keepNext w:val="0"/>
        <w:keepLines w:val="0"/>
        <w:widowControl/>
        <w:suppressLineNumbers w:val="0"/>
        <w:spacing w:line="240" w:lineRule="auto"/>
        <w:jc w:val="center"/>
        <w:rPr>
          <w:rFonts w:hint="default" w:cs="宋体"/>
          <w:b w:val="0"/>
          <w:bCs w:val="0"/>
          <w:sz w:val="28"/>
          <w:szCs w:val="28"/>
          <w:lang w:val="en-US" w:eastAsia="zh-CN"/>
        </w:rPr>
      </w:pPr>
      <w:r>
        <w:rPr>
          <w:rFonts w:hint="default" w:cs="宋体"/>
          <w:b w:val="0"/>
          <w:bCs w:val="0"/>
          <w:sz w:val="28"/>
          <w:szCs w:val="28"/>
          <w:lang w:val="en-US" w:eastAsia="zh-CN"/>
        </w:rPr>
        <w:t>(由投标人据实</w:t>
      </w:r>
      <w:r>
        <w:rPr>
          <w:rFonts w:hint="eastAsia" w:cs="宋体"/>
          <w:b w:val="0"/>
          <w:bCs w:val="0"/>
          <w:sz w:val="28"/>
          <w:szCs w:val="28"/>
          <w:lang w:val="en-US" w:eastAsia="zh-CN"/>
        </w:rPr>
        <w:t>填写</w:t>
      </w:r>
      <w:r>
        <w:rPr>
          <w:rFonts w:hint="default" w:cs="宋体"/>
          <w:b w:val="0"/>
          <w:bCs w:val="0"/>
          <w:sz w:val="28"/>
          <w:szCs w:val="28"/>
          <w:lang w:val="en-US" w:eastAsia="zh-CN"/>
        </w:rPr>
        <w:t>)</w:t>
      </w:r>
    </w:p>
    <w:tbl>
      <w:tblPr>
        <w:tblStyle w:val="15"/>
        <w:tblW w:w="11101" w:type="dxa"/>
        <w:tblInd w:w="-1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1950"/>
        <w:gridCol w:w="1977"/>
        <w:gridCol w:w="2904"/>
        <w:gridCol w:w="2128"/>
        <w:gridCol w:w="1323"/>
      </w:tblGrid>
      <w:tr w14:paraId="5839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19" w:type="dxa"/>
            <w:vAlign w:val="center"/>
          </w:tcPr>
          <w:p w14:paraId="19E8C0A6">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序号</w:t>
            </w:r>
          </w:p>
        </w:tc>
        <w:tc>
          <w:tcPr>
            <w:tcW w:w="1950" w:type="dxa"/>
            <w:vAlign w:val="center"/>
          </w:tcPr>
          <w:p w14:paraId="2DCFEFEF">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招标</w:t>
            </w:r>
            <w:r>
              <w:rPr>
                <w:rFonts w:hint="eastAsia" w:cs="宋体"/>
                <w:b w:val="0"/>
                <w:bCs w:val="0"/>
                <w:sz w:val="21"/>
                <w:szCs w:val="21"/>
                <w:lang w:val="en-US" w:eastAsia="zh-CN"/>
              </w:rPr>
              <w:t>服务内容/技术参数</w:t>
            </w:r>
          </w:p>
        </w:tc>
        <w:tc>
          <w:tcPr>
            <w:tcW w:w="1977" w:type="dxa"/>
            <w:vAlign w:val="center"/>
          </w:tcPr>
          <w:p w14:paraId="034AA82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投标</w:t>
            </w:r>
            <w:r>
              <w:rPr>
                <w:rFonts w:hint="eastAsia" w:cs="宋体"/>
                <w:b w:val="0"/>
                <w:bCs w:val="0"/>
                <w:sz w:val="21"/>
                <w:szCs w:val="21"/>
                <w:lang w:val="en-US" w:eastAsia="zh-CN"/>
              </w:rPr>
              <w:t>服务</w:t>
            </w:r>
            <w:r>
              <w:rPr>
                <w:rFonts w:hint="default" w:cs="宋体"/>
                <w:b w:val="0"/>
                <w:bCs w:val="0"/>
                <w:sz w:val="21"/>
                <w:szCs w:val="21"/>
                <w:lang w:val="en-US" w:eastAsia="zh-CN"/>
              </w:rPr>
              <w:t>实际</w:t>
            </w:r>
            <w:r>
              <w:rPr>
                <w:rFonts w:hint="eastAsia" w:cs="宋体"/>
                <w:b w:val="0"/>
                <w:bCs w:val="0"/>
                <w:sz w:val="21"/>
                <w:szCs w:val="21"/>
                <w:lang w:val="en-US" w:eastAsia="zh-CN"/>
              </w:rPr>
              <w:t>内容/技术参数</w:t>
            </w:r>
          </w:p>
        </w:tc>
        <w:tc>
          <w:tcPr>
            <w:tcW w:w="2904" w:type="dxa"/>
            <w:vAlign w:val="center"/>
          </w:tcPr>
          <w:p w14:paraId="1C0558B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eastAsia" w:cs="宋体"/>
                <w:b w:val="0"/>
                <w:bCs w:val="0"/>
                <w:sz w:val="21"/>
                <w:szCs w:val="21"/>
                <w:lang w:val="en-US" w:eastAsia="zh-CN"/>
              </w:rPr>
              <w:t>服务内容、技术参数</w:t>
            </w:r>
            <w:r>
              <w:rPr>
                <w:rFonts w:hint="default" w:cs="宋体"/>
                <w:b w:val="0"/>
                <w:bCs w:val="0"/>
                <w:sz w:val="21"/>
                <w:szCs w:val="21"/>
                <w:lang w:val="en-US" w:eastAsia="zh-CN"/>
              </w:rPr>
              <w:t>证明材料出处</w:t>
            </w:r>
            <w:r>
              <w:rPr>
                <w:rFonts w:hint="eastAsia" w:cs="宋体"/>
                <w:b w:val="0"/>
                <w:bCs w:val="0"/>
                <w:sz w:val="21"/>
                <w:szCs w:val="21"/>
                <w:lang w:val="en-US" w:eastAsia="zh-CN"/>
              </w:rPr>
              <w:t>及页码</w:t>
            </w:r>
          </w:p>
        </w:tc>
        <w:tc>
          <w:tcPr>
            <w:tcW w:w="2128" w:type="dxa"/>
            <w:vAlign w:val="center"/>
          </w:tcPr>
          <w:p w14:paraId="53447DEC">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符合/正偏离/负偏离</w:t>
            </w:r>
          </w:p>
        </w:tc>
        <w:tc>
          <w:tcPr>
            <w:tcW w:w="1323" w:type="dxa"/>
            <w:vAlign w:val="center"/>
          </w:tcPr>
          <w:p w14:paraId="34158E94">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备注</w:t>
            </w:r>
          </w:p>
        </w:tc>
      </w:tr>
      <w:tr w14:paraId="7C15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475169C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2A9CE7E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81C266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1E5A8B2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445D18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6840B29C">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7190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39F762F0">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6AEF4F5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BD627F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7C7B74A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6303A5A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5C943C4A">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2405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1B48C21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075CEB9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664667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7E4C0A3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041248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1DEA4371">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60E6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2348AB3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3341502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254C1C9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2998745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273617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3DD069F4">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1515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70162AA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4C442F5B">
            <w:pPr>
              <w:keepNext w:val="0"/>
              <w:keepLines w:val="0"/>
              <w:widowControl/>
              <w:suppressLineNumbers w:val="0"/>
              <w:spacing w:line="240" w:lineRule="auto"/>
              <w:jc w:val="center"/>
              <w:rPr>
                <w:rFonts w:hint="default" w:cs="宋体"/>
                <w:b/>
                <w:bCs/>
                <w:sz w:val="21"/>
                <w:szCs w:val="21"/>
                <w:lang w:val="en-US" w:eastAsia="zh-CN"/>
              </w:rPr>
            </w:pPr>
            <w:r>
              <w:rPr>
                <w:rFonts w:hint="eastAsia" w:cs="宋体"/>
                <w:b/>
                <w:bCs/>
                <w:sz w:val="21"/>
                <w:szCs w:val="21"/>
                <w:lang w:val="en-US" w:eastAsia="zh-CN"/>
              </w:rPr>
              <w:t>（根据需要自行增加行、列）</w:t>
            </w:r>
          </w:p>
        </w:tc>
        <w:tc>
          <w:tcPr>
            <w:tcW w:w="1977" w:type="dxa"/>
          </w:tcPr>
          <w:p w14:paraId="148F7E08">
            <w:pPr>
              <w:keepNext w:val="0"/>
              <w:keepLines w:val="0"/>
              <w:widowControl/>
              <w:suppressLineNumbers w:val="0"/>
              <w:spacing w:line="240" w:lineRule="auto"/>
              <w:jc w:val="center"/>
              <w:rPr>
                <w:rFonts w:hint="default" w:cs="宋体"/>
                <w:b/>
                <w:bCs/>
                <w:sz w:val="21"/>
                <w:szCs w:val="21"/>
                <w:lang w:val="en-US" w:eastAsia="zh-CN"/>
              </w:rPr>
            </w:pPr>
          </w:p>
        </w:tc>
        <w:tc>
          <w:tcPr>
            <w:tcW w:w="2904" w:type="dxa"/>
          </w:tcPr>
          <w:p w14:paraId="76CF4A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F38BE0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475AFBF6">
            <w:pPr>
              <w:keepNext w:val="0"/>
              <w:keepLines w:val="0"/>
              <w:widowControl/>
              <w:suppressLineNumbers w:val="0"/>
              <w:spacing w:line="240" w:lineRule="auto"/>
              <w:jc w:val="left"/>
              <w:rPr>
                <w:rFonts w:hint="default" w:cs="宋体"/>
                <w:b/>
                <w:bCs/>
                <w:sz w:val="30"/>
                <w:szCs w:val="30"/>
                <w:vertAlign w:val="baseline"/>
                <w:lang w:val="en-US" w:eastAsia="zh-CN"/>
              </w:rPr>
            </w:pPr>
          </w:p>
        </w:tc>
      </w:tr>
    </w:tbl>
    <w:p w14:paraId="6A009724">
      <w:pPr>
        <w:keepNext w:val="0"/>
        <w:keepLines w:val="0"/>
        <w:widowControl/>
        <w:suppressLineNumbers w:val="0"/>
        <w:spacing w:line="240" w:lineRule="auto"/>
        <w:jc w:val="left"/>
        <w:rPr>
          <w:rFonts w:hint="default" w:ascii="宋体" w:hAnsi="宋体" w:eastAsia="宋体" w:cs="宋体"/>
          <w:color w:val="00000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31923C6-03D6-41A1-B9FE-F1980D081D18}"/>
  </w:font>
  <w:font w:name="Helvetica">
    <w:altName w:val="Arial"/>
    <w:panose1 w:val="020B05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KaiTi_GB2312">
    <w:altName w:val="楷体"/>
    <w:panose1 w:val="02010609060101010101"/>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FangSong_GB2312">
    <w:altName w:val="仿宋"/>
    <w:panose1 w:val="02010609060101010101"/>
    <w:charset w:val="86"/>
    <w:family w:val="modern"/>
    <w:pitch w:val="default"/>
    <w:sig w:usb0="00000000" w:usb1="00000000" w:usb2="00000016" w:usb3="00000000" w:csb0="00040001" w:csb1="00000000"/>
    <w:embedRegular r:id="rId2" w:fontKey="{29A75E62-D3B7-4ED0-9104-6F3A89D0E907}"/>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8BCA4F43">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BCAC3A2">
    <w:panose1 w:val="02010609060101010101"/>
    <w:charset w:val="86"/>
    <w:family w:val="auto"/>
    <w:pitch w:val="default"/>
    <w:sig w:usb0="00000001" w:usb1="00000000" w:usb2="00000000" w:usb3="00000000" w:csb0="00040001" w:csb1="00000000"/>
  </w:font>
  <w:font w:name="FangSong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hOGIyYzRmM2UxZmNkODZkMDJkYjFlMjYyODA1YTcifQ=="/>
  </w:docVars>
  <w:rsids>
    <w:rsidRoot w:val="24D2209E"/>
    <w:rsid w:val="00494ACE"/>
    <w:rsid w:val="007B265A"/>
    <w:rsid w:val="00A55D11"/>
    <w:rsid w:val="00DA5D87"/>
    <w:rsid w:val="0203123B"/>
    <w:rsid w:val="020A2C0E"/>
    <w:rsid w:val="038141F9"/>
    <w:rsid w:val="03DF2018"/>
    <w:rsid w:val="05C83698"/>
    <w:rsid w:val="070E48A8"/>
    <w:rsid w:val="07BC5A28"/>
    <w:rsid w:val="08970D02"/>
    <w:rsid w:val="090633D3"/>
    <w:rsid w:val="0A8A6F01"/>
    <w:rsid w:val="0BB574E9"/>
    <w:rsid w:val="0BC67500"/>
    <w:rsid w:val="0CCA131A"/>
    <w:rsid w:val="0DF33CF1"/>
    <w:rsid w:val="0DF72211"/>
    <w:rsid w:val="0F227162"/>
    <w:rsid w:val="0F5C08A7"/>
    <w:rsid w:val="10A62A18"/>
    <w:rsid w:val="1134315E"/>
    <w:rsid w:val="11BF336F"/>
    <w:rsid w:val="11C97D4A"/>
    <w:rsid w:val="11E626AA"/>
    <w:rsid w:val="11FF749C"/>
    <w:rsid w:val="149A59CD"/>
    <w:rsid w:val="16373051"/>
    <w:rsid w:val="165E7E7E"/>
    <w:rsid w:val="174F484D"/>
    <w:rsid w:val="179A4019"/>
    <w:rsid w:val="189212F3"/>
    <w:rsid w:val="18AD5A80"/>
    <w:rsid w:val="18CE3E98"/>
    <w:rsid w:val="19520625"/>
    <w:rsid w:val="1A120022"/>
    <w:rsid w:val="1AE22727"/>
    <w:rsid w:val="1C042A1F"/>
    <w:rsid w:val="1D57445C"/>
    <w:rsid w:val="1FD004F5"/>
    <w:rsid w:val="20784C33"/>
    <w:rsid w:val="22E542B8"/>
    <w:rsid w:val="24D2209E"/>
    <w:rsid w:val="26B72AA4"/>
    <w:rsid w:val="2B202C91"/>
    <w:rsid w:val="2CCB451E"/>
    <w:rsid w:val="2D7D23EE"/>
    <w:rsid w:val="2DBF5391"/>
    <w:rsid w:val="2DF60F5E"/>
    <w:rsid w:val="2F257DA7"/>
    <w:rsid w:val="2F80457E"/>
    <w:rsid w:val="31572824"/>
    <w:rsid w:val="322C3CB1"/>
    <w:rsid w:val="337551E4"/>
    <w:rsid w:val="349E5471"/>
    <w:rsid w:val="35FF587A"/>
    <w:rsid w:val="37A442EA"/>
    <w:rsid w:val="37F45D2F"/>
    <w:rsid w:val="38213DA4"/>
    <w:rsid w:val="383C5F9A"/>
    <w:rsid w:val="38474F05"/>
    <w:rsid w:val="38D526E1"/>
    <w:rsid w:val="394B75AF"/>
    <w:rsid w:val="3AA86919"/>
    <w:rsid w:val="3AE27603"/>
    <w:rsid w:val="3C2B5111"/>
    <w:rsid w:val="3D626373"/>
    <w:rsid w:val="3DA7680A"/>
    <w:rsid w:val="3EEE1530"/>
    <w:rsid w:val="415648A7"/>
    <w:rsid w:val="41727207"/>
    <w:rsid w:val="42D25330"/>
    <w:rsid w:val="42FA64DC"/>
    <w:rsid w:val="432D3572"/>
    <w:rsid w:val="443D58AA"/>
    <w:rsid w:val="455467A5"/>
    <w:rsid w:val="461E3079"/>
    <w:rsid w:val="46A139FD"/>
    <w:rsid w:val="481007AD"/>
    <w:rsid w:val="49E17296"/>
    <w:rsid w:val="4AC86916"/>
    <w:rsid w:val="4C895DD1"/>
    <w:rsid w:val="4D1B0752"/>
    <w:rsid w:val="4D8E366A"/>
    <w:rsid w:val="4DD454D1"/>
    <w:rsid w:val="4E8C54B1"/>
    <w:rsid w:val="4E9C6081"/>
    <w:rsid w:val="4EBB3F9B"/>
    <w:rsid w:val="4EC10F8B"/>
    <w:rsid w:val="4EDA651C"/>
    <w:rsid w:val="4FDE15A9"/>
    <w:rsid w:val="503C735D"/>
    <w:rsid w:val="51051655"/>
    <w:rsid w:val="51277097"/>
    <w:rsid w:val="51983E64"/>
    <w:rsid w:val="52816664"/>
    <w:rsid w:val="52A05BEE"/>
    <w:rsid w:val="52A13E2E"/>
    <w:rsid w:val="54394300"/>
    <w:rsid w:val="54D97240"/>
    <w:rsid w:val="56116B96"/>
    <w:rsid w:val="58346B6C"/>
    <w:rsid w:val="588B036D"/>
    <w:rsid w:val="58FC1D80"/>
    <w:rsid w:val="59017396"/>
    <w:rsid w:val="5EB43434"/>
    <w:rsid w:val="5F6E75C9"/>
    <w:rsid w:val="603E67DA"/>
    <w:rsid w:val="60402093"/>
    <w:rsid w:val="62AA0157"/>
    <w:rsid w:val="62E33669"/>
    <w:rsid w:val="63B25E95"/>
    <w:rsid w:val="63D74F7B"/>
    <w:rsid w:val="654952CF"/>
    <w:rsid w:val="6604073B"/>
    <w:rsid w:val="66102866"/>
    <w:rsid w:val="66D31996"/>
    <w:rsid w:val="688F3EA6"/>
    <w:rsid w:val="694035C3"/>
    <w:rsid w:val="69887333"/>
    <w:rsid w:val="6A454942"/>
    <w:rsid w:val="6B8D689A"/>
    <w:rsid w:val="6C445178"/>
    <w:rsid w:val="6C97174C"/>
    <w:rsid w:val="6CFB554B"/>
    <w:rsid w:val="6E1A7C70"/>
    <w:rsid w:val="6E34121C"/>
    <w:rsid w:val="6E5F098F"/>
    <w:rsid w:val="6EFE6B64"/>
    <w:rsid w:val="6FF941E7"/>
    <w:rsid w:val="70B2124A"/>
    <w:rsid w:val="711461F7"/>
    <w:rsid w:val="735E1713"/>
    <w:rsid w:val="74B310ED"/>
    <w:rsid w:val="74BD1F6B"/>
    <w:rsid w:val="753D6B6C"/>
    <w:rsid w:val="75742F72"/>
    <w:rsid w:val="75881A8D"/>
    <w:rsid w:val="782E6441"/>
    <w:rsid w:val="786646C8"/>
    <w:rsid w:val="7877401B"/>
    <w:rsid w:val="78C338C8"/>
    <w:rsid w:val="79E359FC"/>
    <w:rsid w:val="7BAE551E"/>
    <w:rsid w:val="7C0B180E"/>
    <w:rsid w:val="7D3B1B2A"/>
    <w:rsid w:val="7E840087"/>
    <w:rsid w:val="7F200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32"/>
    <w:qFormat/>
    <w:uiPriority w:val="0"/>
    <w:pPr>
      <w:keepNext/>
      <w:keepLines/>
      <w:spacing w:before="260" w:beforeLines="0" w:after="260" w:afterLines="0" w:line="415" w:lineRule="auto"/>
      <w:outlineLvl w:val="1"/>
    </w:pPr>
    <w:rPr>
      <w:rFonts w:ascii="Arial" w:hAnsi="Arial" w:eastAsia="黑体"/>
      <w:b/>
      <w:bCs/>
      <w:sz w:val="32"/>
      <w:szCs w:val="32"/>
    </w:rPr>
  </w:style>
  <w:style w:type="paragraph" w:styleId="4">
    <w:name w:val="heading 4"/>
    <w:basedOn w:val="1"/>
    <w:next w:val="1"/>
    <w:autoRedefine/>
    <w:qFormat/>
    <w:uiPriority w:val="0"/>
    <w:pPr>
      <w:keepNext/>
      <w:keepLines/>
      <w:spacing w:before="120" w:after="120" w:line="360" w:lineRule="auto"/>
      <w:outlineLvl w:val="3"/>
    </w:pPr>
    <w:rPr>
      <w:rFonts w:ascii="Arial" w:hAnsi="Arial" w:eastAsia="宋体" w:cs="Times New Roman"/>
      <w:b/>
      <w:bCs/>
      <w:sz w:val="28"/>
      <w:szCs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next w:val="1"/>
    <w:autoRedefine/>
    <w:qFormat/>
    <w:uiPriority w:val="0"/>
    <w:pPr>
      <w:widowControl w:val="0"/>
      <w:ind w:left="420" w:leftChars="200"/>
      <w:jc w:val="both"/>
    </w:pPr>
    <w:rPr>
      <w:rFonts w:ascii="Times New Roman" w:hAnsi="Times New Roman" w:eastAsia="宋体" w:cs="Times New Roman"/>
      <w:kern w:val="2"/>
      <w:sz w:val="21"/>
      <w:lang w:val="en-US" w:eastAsia="zh-CN" w:bidi="ar-SA"/>
    </w:rPr>
  </w:style>
  <w:style w:type="paragraph" w:styleId="6">
    <w:name w:val="Normal Indent"/>
    <w:basedOn w:val="1"/>
    <w:qFormat/>
    <w:uiPriority w:val="0"/>
    <w:pPr>
      <w:ind w:firstLine="420"/>
    </w:pPr>
  </w:style>
  <w:style w:type="paragraph" w:styleId="7">
    <w:name w:val="Body Text"/>
    <w:basedOn w:val="1"/>
    <w:autoRedefine/>
    <w:qFormat/>
    <w:uiPriority w:val="99"/>
    <w:pPr>
      <w:spacing w:before="0" w:beforeLines="0" w:after="0" w:afterLines="0" w:line="240" w:lineRule="auto"/>
      <w:ind w:firstLine="0" w:firstLineChars="0"/>
    </w:pPr>
    <w:rPr>
      <w:rFonts w:ascii="Helvetica" w:hAnsi="Helvetica" w:eastAsia="黑体" w:cs="Times New Roman"/>
      <w:i/>
      <w:iCs/>
      <w:sz w:val="21"/>
      <w:szCs w:val="20"/>
    </w:rPr>
  </w:style>
  <w:style w:type="paragraph" w:styleId="8">
    <w:name w:val="Body Text Indent"/>
    <w:basedOn w:val="1"/>
    <w:autoRedefine/>
    <w:qFormat/>
    <w:uiPriority w:val="0"/>
    <w:pPr>
      <w:spacing w:after="120" w:afterLines="0"/>
      <w:ind w:left="420" w:leftChars="200"/>
    </w:pPr>
  </w:style>
  <w:style w:type="paragraph" w:styleId="9">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10">
    <w:name w:val="footer"/>
    <w:basedOn w:val="1"/>
    <w:link w:val="23"/>
    <w:autoRedefine/>
    <w:qFormat/>
    <w:uiPriority w:val="0"/>
    <w:pPr>
      <w:tabs>
        <w:tab w:val="center" w:pos="4513"/>
        <w:tab w:val="right" w:pos="9026"/>
      </w:tabs>
      <w:snapToGrid w:val="0"/>
      <w:jc w:val="left"/>
    </w:pPr>
    <w:rPr>
      <w:sz w:val="18"/>
      <w:szCs w:val="18"/>
    </w:rPr>
  </w:style>
  <w:style w:type="paragraph" w:styleId="11">
    <w:name w:val="header"/>
    <w:basedOn w:val="1"/>
    <w:link w:val="22"/>
    <w:autoRedefine/>
    <w:qFormat/>
    <w:uiPriority w:val="0"/>
    <w:pPr>
      <w:tabs>
        <w:tab w:val="center" w:pos="4513"/>
        <w:tab w:val="right" w:pos="9026"/>
      </w:tabs>
      <w:snapToGrid w:val="0"/>
      <w:jc w:val="center"/>
    </w:pPr>
    <w:rPr>
      <w:sz w:val="18"/>
      <w:szCs w:val="18"/>
    </w:rPr>
  </w:style>
  <w:style w:type="paragraph" w:styleId="12">
    <w:name w:val="Normal (Web)"/>
    <w:basedOn w:val="1"/>
    <w:autoRedefine/>
    <w:qFormat/>
    <w:uiPriority w:val="99"/>
    <w:pPr>
      <w:widowControl/>
      <w:spacing w:before="100" w:beforeAutospacing="1" w:after="100" w:afterAutospacing="1"/>
      <w:jc w:val="left"/>
    </w:pPr>
    <w:rPr>
      <w:rFonts w:ascii="宋体" w:hAnsi="宋体" w:cs="宋体"/>
      <w:color w:val="000000"/>
      <w:kern w:val="0"/>
      <w:sz w:val="24"/>
    </w:rPr>
  </w:style>
  <w:style w:type="paragraph" w:styleId="13">
    <w:name w:val="Title"/>
    <w:basedOn w:val="1"/>
    <w:autoRedefine/>
    <w:qFormat/>
    <w:uiPriority w:val="0"/>
    <w:pPr>
      <w:spacing w:before="240" w:after="60"/>
      <w:jc w:val="center"/>
      <w:outlineLvl w:val="0"/>
    </w:pPr>
    <w:rPr>
      <w:rFonts w:ascii="Arial" w:hAnsi="Arial" w:cs="Times New Roman"/>
      <w:b/>
      <w:sz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1"/>
    <w:basedOn w:val="1"/>
    <w:next w:val="8"/>
    <w:autoRedefine/>
    <w:qFormat/>
    <w:uiPriority w:val="0"/>
    <w:pPr>
      <w:widowControl w:val="0"/>
      <w:jc w:val="both"/>
    </w:pPr>
    <w:rPr>
      <w:rFonts w:ascii="宋体" w:hAnsi="Courier New"/>
      <w:kern w:val="2"/>
    </w:rPr>
  </w:style>
  <w:style w:type="paragraph" w:customStyle="1" w:styleId="18">
    <w:name w:val="font5"/>
    <w:basedOn w:val="1"/>
    <w:autoRedefine/>
    <w:qFormat/>
    <w:uiPriority w:val="0"/>
    <w:pPr>
      <w:spacing w:before="100" w:beforeLines="0" w:beforeAutospacing="1" w:after="100" w:afterLines="0" w:afterAutospacing="1"/>
    </w:pPr>
    <w:rPr>
      <w:rFonts w:ascii="宋体" w:hAnsi="宋体" w:cs="宋体"/>
      <w:sz w:val="18"/>
      <w:szCs w:val="18"/>
    </w:rPr>
  </w:style>
  <w:style w:type="paragraph" w:customStyle="1" w:styleId="19">
    <w:name w:val="表格文字"/>
    <w:basedOn w:val="1"/>
    <w:autoRedefine/>
    <w:qFormat/>
    <w:uiPriority w:val="0"/>
    <w:pPr>
      <w:spacing w:before="25" w:after="25"/>
    </w:pPr>
    <w:rPr>
      <w:bCs/>
      <w:spacing w:val="10"/>
      <w:kern w:val="0"/>
    </w:rPr>
  </w:style>
  <w:style w:type="paragraph" w:customStyle="1" w:styleId="20">
    <w:name w:val="Default"/>
    <w:autoRedefine/>
    <w:qFormat/>
    <w:uiPriority w:val="0"/>
    <w:pPr>
      <w:autoSpaceDE w:val="0"/>
      <w:autoSpaceDN w:val="0"/>
      <w:adjustRightInd w:val="0"/>
    </w:pPr>
    <w:rPr>
      <w:rFonts w:ascii="Calibri" w:hAnsi="Calibri" w:eastAsia="宋体" w:cs="Calibri"/>
      <w:color w:val="000000"/>
      <w:sz w:val="24"/>
      <w:szCs w:val="24"/>
      <w:lang w:val="en-US" w:eastAsia="zh-CN" w:bidi="ar-SA"/>
    </w:rPr>
  </w:style>
  <w:style w:type="paragraph" w:styleId="21">
    <w:name w:val="No Spacing"/>
    <w:autoRedefine/>
    <w:qFormat/>
    <w:uiPriority w:val="1"/>
    <w:rPr>
      <w:rFonts w:ascii="Calibri" w:hAnsi="Calibri" w:eastAsia="宋体" w:cs="Times New Roman"/>
      <w:sz w:val="22"/>
      <w:szCs w:val="22"/>
      <w:lang w:val="en-US" w:eastAsia="zh-CN" w:bidi="ar-SA"/>
    </w:rPr>
  </w:style>
  <w:style w:type="character" w:customStyle="1" w:styleId="22">
    <w:name w:val="页眉 字符"/>
    <w:basedOn w:val="16"/>
    <w:link w:val="11"/>
    <w:autoRedefine/>
    <w:qFormat/>
    <w:uiPriority w:val="0"/>
    <w:rPr>
      <w:rFonts w:ascii="Calibri" w:hAnsi="Calibri" w:eastAsia="宋体" w:cs="Times New Roman"/>
      <w:kern w:val="2"/>
      <w:sz w:val="18"/>
      <w:szCs w:val="18"/>
    </w:rPr>
  </w:style>
  <w:style w:type="character" w:customStyle="1" w:styleId="23">
    <w:name w:val="页脚 字符"/>
    <w:basedOn w:val="16"/>
    <w:link w:val="10"/>
    <w:autoRedefine/>
    <w:qFormat/>
    <w:uiPriority w:val="0"/>
    <w:rPr>
      <w:rFonts w:ascii="Calibri" w:hAnsi="Calibri" w:eastAsia="宋体" w:cs="Times New Roman"/>
      <w:kern w:val="2"/>
      <w:sz w:val="18"/>
      <w:szCs w:val="18"/>
    </w:rPr>
  </w:style>
  <w:style w:type="paragraph" w:customStyle="1" w:styleId="24">
    <w:name w:val="Body text|1"/>
    <w:basedOn w:val="1"/>
    <w:autoRedefine/>
    <w:qFormat/>
    <w:uiPriority w:val="0"/>
    <w:pPr>
      <w:widowControl w:val="0"/>
      <w:shd w:val="clear" w:color="auto" w:fill="auto"/>
      <w:spacing w:after="380"/>
      <w:jc w:val="center"/>
    </w:pPr>
    <w:rPr>
      <w:rFonts w:ascii="宋体" w:hAnsi="宋体" w:eastAsia="宋体" w:cs="宋体"/>
      <w:color w:val="64676B"/>
      <w:sz w:val="30"/>
      <w:szCs w:val="30"/>
      <w:u w:val="none"/>
      <w:shd w:val="clear" w:color="auto" w:fill="auto"/>
      <w:lang w:val="zh-TW" w:eastAsia="zh-TW" w:bidi="zh-TW"/>
    </w:rPr>
  </w:style>
  <w:style w:type="paragraph" w:customStyle="1" w:styleId="25">
    <w:name w:val="Other|1"/>
    <w:basedOn w:val="1"/>
    <w:autoRedefine/>
    <w:qFormat/>
    <w:uiPriority w:val="0"/>
    <w:pPr>
      <w:widowControl w:val="0"/>
      <w:shd w:val="clear" w:color="auto" w:fill="auto"/>
    </w:pPr>
    <w:rPr>
      <w:rFonts w:ascii="宋体" w:hAnsi="宋体" w:eastAsia="宋体" w:cs="宋体"/>
      <w:color w:val="7D7E84"/>
      <w:sz w:val="20"/>
      <w:szCs w:val="20"/>
      <w:u w:val="none"/>
      <w:shd w:val="clear" w:color="auto" w:fill="auto"/>
      <w:lang w:val="zh-TW" w:eastAsia="zh-TW" w:bidi="zh-TW"/>
    </w:rPr>
  </w:style>
  <w:style w:type="paragraph" w:styleId="26">
    <w:name w:val="List Paragraph"/>
    <w:basedOn w:val="1"/>
    <w:autoRedefine/>
    <w:qFormat/>
    <w:uiPriority w:val="34"/>
    <w:pPr>
      <w:ind w:firstLine="420" w:firstLineChars="200"/>
    </w:pPr>
  </w:style>
  <w:style w:type="paragraph" w:customStyle="1" w:styleId="27">
    <w:name w:val="null3"/>
    <w:autoRedefine/>
    <w:hidden/>
    <w:qFormat/>
    <w:uiPriority w:val="0"/>
    <w:rPr>
      <w:rFonts w:hint="eastAsia" w:asciiTheme="minorHAnsi" w:hAnsiTheme="minorHAnsi" w:eastAsiaTheme="minorEastAsia" w:cstheme="minorBidi"/>
      <w:kern w:val="0"/>
      <w:sz w:val="20"/>
      <w:szCs w:val="20"/>
      <w:lang w:val="en-US" w:eastAsia="zh-Hans" w:bidi="ar-SA"/>
    </w:rPr>
  </w:style>
  <w:style w:type="paragraph" w:customStyle="1" w:styleId="28">
    <w:name w:val="正文_0"/>
    <w:autoRedefine/>
    <w:qFormat/>
    <w:uiPriority w:val="0"/>
    <w:pPr>
      <w:widowControl w:val="0"/>
      <w:jc w:val="both"/>
    </w:pPr>
    <w:rPr>
      <w:rFonts w:ascii="Times New Roman" w:hAnsi="Times New Roman" w:eastAsia="微软雅黑" w:cs="Times New Roman"/>
      <w:kern w:val="2"/>
      <w:sz w:val="21"/>
      <w:lang w:val="en-US" w:eastAsia="zh-CN" w:bidi="ar-SA"/>
    </w:rPr>
  </w:style>
  <w:style w:type="paragraph" w:customStyle="1" w:styleId="29">
    <w:name w:val="Plain Text"/>
    <w:basedOn w:val="1"/>
    <w:qFormat/>
    <w:uiPriority w:val="0"/>
    <w:rPr>
      <w:rFonts w:ascii="宋体" w:hAnsi="Courier New"/>
      <w:sz w:val="24"/>
      <w:szCs w:val="20"/>
    </w:rPr>
  </w:style>
  <w:style w:type="paragraph" w:customStyle="1" w:styleId="30">
    <w:name w:val="Date"/>
    <w:basedOn w:val="1"/>
    <w:next w:val="1"/>
    <w:qFormat/>
    <w:uiPriority w:val="0"/>
    <w:rPr>
      <w:rFonts w:ascii="Arial" w:hAnsi="Arial" w:eastAsia="KaiTi_GB2312"/>
      <w:sz w:val="28"/>
      <w:szCs w:val="20"/>
    </w:rPr>
  </w:style>
  <w:style w:type="paragraph" w:customStyle="1" w:styleId="31">
    <w:name w:val="列出段落1"/>
    <w:basedOn w:val="1"/>
    <w:qFormat/>
    <w:uiPriority w:val="34"/>
    <w:pPr>
      <w:ind w:firstLine="420" w:firstLineChars="200"/>
      <w:jc w:val="left"/>
    </w:pPr>
    <w:rPr>
      <w:rFonts w:ascii="Courier New" w:hAnsi="Courier New"/>
      <w:snapToGrid w:val="0"/>
      <w:kern w:val="0"/>
      <w:sz w:val="24"/>
      <w:szCs w:val="20"/>
      <w:lang w:eastAsia="en-US"/>
    </w:rPr>
  </w:style>
  <w:style w:type="character" w:customStyle="1" w:styleId="32">
    <w:name w:val="标题 2 Char"/>
    <w:basedOn w:val="16"/>
    <w:link w:val="3"/>
    <w:autoRedefine/>
    <w:qFormat/>
    <w:uiPriority w:val="9"/>
    <w:rPr>
      <w:rFonts w:ascii="Arial" w:hAnsi="Arial" w:eastAsia="黑体"/>
      <w:b/>
      <w:bCs/>
      <w:sz w:val="32"/>
      <w:szCs w:val="32"/>
    </w:rPr>
  </w:style>
  <w:style w:type="paragraph" w:customStyle="1" w:styleId="33">
    <w:name w:val="p15"/>
    <w:basedOn w:val="1"/>
    <w:qFormat/>
    <w:uiPriority w:val="0"/>
    <w:pPr>
      <w:adjustRightInd w:val="0"/>
    </w:pPr>
    <w:rPr>
      <w:rFonts w:ascii="Arial Unicode MS" w:hAnsi="Arial Unicode MS" w:cs="宋体"/>
      <w:color w:val="000000"/>
      <w:szCs w:val="24"/>
    </w:rPr>
  </w:style>
  <w:style w:type="paragraph" w:customStyle="1" w:styleId="34">
    <w:name w:val="列出段落2"/>
    <w:basedOn w:val="1"/>
    <w:qFormat/>
    <w:uiPriority w:val="0"/>
    <w:pPr>
      <w:ind w:firstLine="420" w:firstLineChars="200"/>
    </w:pPr>
  </w:style>
  <w:style w:type="paragraph" w:customStyle="1" w:styleId="35">
    <w:name w:val="Table Paragraph"/>
    <w:basedOn w:val="1"/>
    <w:qFormat/>
    <w:uiPriority w:val="1"/>
    <w:pPr>
      <w:ind w:left="11"/>
      <w:jc w:val="center"/>
    </w:pPr>
    <w:rPr>
      <w:rFonts w:ascii="宋体" w:hAnsi="宋体" w:eastAsia="宋体" w:cs="宋体"/>
      <w:lang w:val="en-US" w:eastAsia="zh-CN" w:bidi="ar-SA"/>
    </w:rPr>
  </w:style>
  <w:style w:type="paragraph" w:customStyle="1" w:styleId="36">
    <w:name w:val="BZ 标准 正文 小五，首行缩2，1.5行距"/>
    <w:basedOn w:val="1"/>
    <w:qFormat/>
    <w:uiPriority w:val="0"/>
    <w:pPr>
      <w:spacing w:line="360" w:lineRule="auto"/>
      <w:ind w:firstLine="480" w:firstLineChars="200"/>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2254</Words>
  <Characters>2321</Characters>
  <Lines>8</Lines>
  <Paragraphs>2</Paragraphs>
  <TotalTime>41</TotalTime>
  <ScaleCrop>false</ScaleCrop>
  <LinksUpToDate>false</LinksUpToDate>
  <CharactersWithSpaces>2395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2023-07-10T10:50:00Z</dcterms:created>
  <dc:creator>农人</dc:creator>
  <cp:lastModifiedBy>吴定银</cp:lastModifiedBy>
  <cp:lastPrinted>2026-10-19T07:23:56Z</cp:lastPrinted>
  <dcterms:modified xsi:type="dcterms:W3CDTF">2026-10-19T07:33:22Z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7DF4184FBCB7417095EDF6424D74FF6F_13</vt:lpwstr>
  </property>
  <property fmtid="{D5CDD505-2E9C-101B-9397-08002B2CF9AE}" pid="4" name="KSOTemplateDocerSaveRecord">
    <vt:lpwstr>eyJoZGlkIjoiYmM0NzdjN2FkNWFlN2Y3YTk5NzNiZDRkZjhjNDgzOWQiLCJ1c2VySWQiOiIyNzYwMTQ1NDgifQ==</vt:lpwstr>
  </property>
</Properties>
</file>